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A7AE56" w14:textId="77777777" w:rsidR="0036376C" w:rsidRPr="00B66E16" w:rsidRDefault="0036376C" w:rsidP="000B5BFC">
      <w:pPr>
        <w:spacing w:after="160" w:line="360" w:lineRule="auto"/>
        <w:jc w:val="center"/>
        <w:rPr>
          <w:rFonts w:eastAsia="Calibri" w:cs="Times New Roman"/>
          <w:b/>
          <w:szCs w:val="24"/>
        </w:rPr>
      </w:pPr>
      <w:r>
        <w:rPr>
          <w:rFonts w:eastAsia="Calibri" w:cs="Times New Roman"/>
          <w:b/>
          <w:szCs w:val="24"/>
        </w:rPr>
        <w:t>PROJECT N</w:t>
      </w:r>
      <w:r w:rsidRPr="00B66E16">
        <w:rPr>
          <w:rFonts w:eastAsia="Calibri" w:cs="Times New Roman"/>
          <w:b/>
          <w:szCs w:val="24"/>
        </w:rPr>
        <w:t xml:space="preserve">O. </w:t>
      </w:r>
      <w:r>
        <w:rPr>
          <w:rFonts w:eastAsia="Calibri" w:cs="Times New Roman"/>
          <w:b/>
          <w:szCs w:val="24"/>
        </w:rPr>
        <w:t>49125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1056"/>
        <w:gridCol w:w="4151"/>
      </w:tblGrid>
      <w:tr w:rsidR="0036376C" w:rsidRPr="00B66E16" w14:paraId="4AF34940" w14:textId="77777777" w:rsidTr="00E676B4">
        <w:tc>
          <w:tcPr>
            <w:tcW w:w="4495" w:type="dxa"/>
            <w:vAlign w:val="center"/>
          </w:tcPr>
          <w:p w14:paraId="14F3407C" w14:textId="686C5101" w:rsidR="0036376C" w:rsidRDefault="0036376C" w:rsidP="000B5BFC">
            <w:pPr>
              <w:spacing w:line="360" w:lineRule="auto"/>
              <w:jc w:val="center"/>
              <w:rPr>
                <w:rFonts w:eastAsia="Calibri"/>
                <w:b/>
                <w:szCs w:val="24"/>
              </w:rPr>
            </w:pPr>
            <w:r>
              <w:rPr>
                <w:rFonts w:eastAsia="Calibri"/>
                <w:b/>
                <w:szCs w:val="24"/>
              </w:rPr>
              <w:t xml:space="preserve">REVIEW OF ISSUES     </w:t>
            </w:r>
            <w:r w:rsidR="009C15C8">
              <w:rPr>
                <w:rFonts w:eastAsia="Calibri"/>
                <w:b/>
                <w:szCs w:val="24"/>
              </w:rPr>
              <w:t xml:space="preserve"> </w:t>
            </w:r>
            <w:r>
              <w:rPr>
                <w:rFonts w:eastAsia="Calibri"/>
                <w:b/>
                <w:szCs w:val="24"/>
              </w:rPr>
              <w:t>RELATING</w:t>
            </w:r>
          </w:p>
          <w:p w14:paraId="52FDA119" w14:textId="4A6B0805" w:rsidR="0036376C" w:rsidRPr="00B66E16" w:rsidRDefault="0036376C" w:rsidP="000B5BFC">
            <w:pPr>
              <w:spacing w:line="360" w:lineRule="auto"/>
              <w:jc w:val="center"/>
              <w:rPr>
                <w:rFonts w:eastAsia="Calibri"/>
                <w:b/>
                <w:szCs w:val="24"/>
              </w:rPr>
            </w:pPr>
            <w:r>
              <w:rPr>
                <w:rFonts w:eastAsia="Calibri"/>
                <w:b/>
                <w:szCs w:val="24"/>
              </w:rPr>
              <w:t>TO ELECTRIC VEHICLES</w:t>
            </w:r>
          </w:p>
        </w:tc>
        <w:tc>
          <w:tcPr>
            <w:tcW w:w="360" w:type="dxa"/>
            <w:vAlign w:val="center"/>
          </w:tcPr>
          <w:p w14:paraId="671A23EE" w14:textId="77777777" w:rsidR="0036376C" w:rsidRPr="00B66E16" w:rsidRDefault="0036376C" w:rsidP="000B5BFC">
            <w:pPr>
              <w:spacing w:line="360" w:lineRule="auto"/>
              <w:jc w:val="center"/>
              <w:rPr>
                <w:rFonts w:eastAsia="Calibri"/>
                <w:b/>
                <w:szCs w:val="24"/>
              </w:rPr>
            </w:pPr>
            <w:r w:rsidRPr="00B66E16">
              <w:rPr>
                <w:rFonts w:eastAsia="Calibri"/>
                <w:b/>
                <w:szCs w:val="24"/>
              </w:rPr>
              <w:t>§</w:t>
            </w:r>
          </w:p>
          <w:p w14:paraId="70E15838" w14:textId="77777777" w:rsidR="0036376C" w:rsidRPr="00B66E16" w:rsidRDefault="0036376C" w:rsidP="000B5BFC">
            <w:pPr>
              <w:spacing w:line="360" w:lineRule="auto"/>
              <w:jc w:val="center"/>
              <w:rPr>
                <w:rFonts w:eastAsia="Calibri"/>
                <w:b/>
                <w:szCs w:val="24"/>
              </w:rPr>
            </w:pPr>
            <w:r w:rsidRPr="00B66E16">
              <w:rPr>
                <w:rFonts w:eastAsia="Calibri"/>
                <w:b/>
                <w:szCs w:val="24"/>
              </w:rPr>
              <w:t>§</w:t>
            </w:r>
          </w:p>
          <w:p w14:paraId="100258BA" w14:textId="77777777" w:rsidR="0036376C" w:rsidRPr="00B66E16" w:rsidRDefault="0036376C" w:rsidP="000B5BFC">
            <w:pPr>
              <w:spacing w:line="360" w:lineRule="auto"/>
              <w:jc w:val="center"/>
              <w:rPr>
                <w:rFonts w:eastAsia="Calibri"/>
                <w:b/>
                <w:szCs w:val="24"/>
              </w:rPr>
            </w:pPr>
            <w:r w:rsidRPr="00B66E16">
              <w:rPr>
                <w:rFonts w:eastAsia="Calibri"/>
                <w:b/>
                <w:szCs w:val="24"/>
              </w:rPr>
              <w:t>§</w:t>
            </w:r>
          </w:p>
        </w:tc>
        <w:tc>
          <w:tcPr>
            <w:tcW w:w="4495" w:type="dxa"/>
            <w:vAlign w:val="center"/>
          </w:tcPr>
          <w:p w14:paraId="45129F20" w14:textId="77777777" w:rsidR="0036376C" w:rsidRPr="00E676B4" w:rsidRDefault="0036376C" w:rsidP="000B5BFC">
            <w:pPr>
              <w:spacing w:line="360" w:lineRule="auto"/>
              <w:jc w:val="center"/>
              <w:rPr>
                <w:rFonts w:eastAsia="Calibri"/>
                <w:b/>
                <w:szCs w:val="24"/>
              </w:rPr>
            </w:pPr>
            <w:r w:rsidRPr="00E676B4">
              <w:rPr>
                <w:rFonts w:eastAsia="Calibri"/>
                <w:b/>
                <w:szCs w:val="24"/>
              </w:rPr>
              <w:t>BEFORE THE</w:t>
            </w:r>
          </w:p>
          <w:p w14:paraId="2DB66FFF" w14:textId="77DD1059" w:rsidR="0036376C" w:rsidRPr="00B66E16" w:rsidRDefault="0036376C" w:rsidP="000B5BFC">
            <w:pPr>
              <w:spacing w:line="360" w:lineRule="auto"/>
              <w:jc w:val="center"/>
              <w:rPr>
                <w:rFonts w:eastAsia="Calibri"/>
                <w:b/>
                <w:szCs w:val="24"/>
              </w:rPr>
            </w:pPr>
            <w:r w:rsidRPr="00E676B4">
              <w:rPr>
                <w:rFonts w:eastAsia="Calibri"/>
                <w:b/>
                <w:szCs w:val="24"/>
              </w:rPr>
              <w:t>PUBLIC UTILITY</w:t>
            </w:r>
            <w:r w:rsidR="00E676B4" w:rsidRPr="00E676B4">
              <w:rPr>
                <w:rFonts w:eastAsia="Calibri"/>
                <w:b/>
                <w:szCs w:val="24"/>
              </w:rPr>
              <w:t xml:space="preserve"> </w:t>
            </w:r>
            <w:r w:rsidRPr="00E676B4">
              <w:rPr>
                <w:rFonts w:eastAsia="Calibri"/>
                <w:b/>
                <w:szCs w:val="24"/>
              </w:rPr>
              <w:t>COMMISSION</w:t>
            </w:r>
            <w:r w:rsidR="00E676B4">
              <w:rPr>
                <w:rFonts w:eastAsia="Calibri"/>
                <w:b/>
                <w:szCs w:val="24"/>
              </w:rPr>
              <w:t xml:space="preserve"> </w:t>
            </w:r>
            <w:r w:rsidRPr="00E676B4">
              <w:rPr>
                <w:rFonts w:eastAsia="Calibri"/>
                <w:b/>
                <w:szCs w:val="24"/>
              </w:rPr>
              <w:t>OF TEXAS</w:t>
            </w:r>
          </w:p>
        </w:tc>
      </w:tr>
    </w:tbl>
    <w:p w14:paraId="724DFE41" w14:textId="77777777" w:rsidR="0036376C" w:rsidRDefault="0036376C" w:rsidP="000B5BFC">
      <w:pPr>
        <w:tabs>
          <w:tab w:val="left" w:pos="7920"/>
        </w:tabs>
        <w:spacing w:line="360" w:lineRule="auto"/>
        <w:jc w:val="center"/>
        <w:rPr>
          <w:rFonts w:eastAsia="Calibri" w:cs="Times New Roman"/>
          <w:b/>
          <w:szCs w:val="24"/>
        </w:rPr>
      </w:pPr>
    </w:p>
    <w:p w14:paraId="351FF3EF" w14:textId="3F75D10A" w:rsidR="0036376C" w:rsidRDefault="0036376C" w:rsidP="000B5BFC">
      <w:pPr>
        <w:tabs>
          <w:tab w:val="left" w:pos="7920"/>
        </w:tabs>
        <w:spacing w:line="360" w:lineRule="auto"/>
        <w:jc w:val="center"/>
        <w:rPr>
          <w:rFonts w:eastAsia="Calibri" w:cs="Times New Roman"/>
          <w:b/>
          <w:szCs w:val="24"/>
        </w:rPr>
      </w:pPr>
      <w:r w:rsidRPr="00E05E23">
        <w:rPr>
          <w:rFonts w:eastAsia="Calibri" w:cs="Times New Roman"/>
          <w:b/>
          <w:szCs w:val="24"/>
        </w:rPr>
        <w:t xml:space="preserve">COMMENTS </w:t>
      </w:r>
      <w:r>
        <w:rPr>
          <w:rFonts w:eastAsia="Calibri" w:cs="Times New Roman"/>
          <w:b/>
          <w:szCs w:val="24"/>
        </w:rPr>
        <w:t>from</w:t>
      </w:r>
    </w:p>
    <w:p w14:paraId="25E13730" w14:textId="632C8594" w:rsidR="0036376C" w:rsidRDefault="0036376C" w:rsidP="000B5BFC">
      <w:pPr>
        <w:tabs>
          <w:tab w:val="left" w:pos="7920"/>
        </w:tabs>
        <w:spacing w:line="360" w:lineRule="auto"/>
        <w:jc w:val="center"/>
        <w:rPr>
          <w:rFonts w:eastAsia="Calibri" w:cs="Times New Roman"/>
          <w:b/>
          <w:szCs w:val="24"/>
        </w:rPr>
      </w:pPr>
      <w:r>
        <w:rPr>
          <w:rFonts w:eastAsia="Calibri" w:cs="Times New Roman"/>
          <w:b/>
          <w:szCs w:val="24"/>
        </w:rPr>
        <w:t>Texas Electric Transportation Resources Alliance</w:t>
      </w:r>
    </w:p>
    <w:p w14:paraId="3E0D5A8E" w14:textId="1FC12367" w:rsidR="0036376C" w:rsidRDefault="0036376C" w:rsidP="000B5BFC">
      <w:pPr>
        <w:tabs>
          <w:tab w:val="left" w:pos="7920"/>
        </w:tabs>
        <w:spacing w:line="360" w:lineRule="auto"/>
        <w:jc w:val="center"/>
        <w:rPr>
          <w:rFonts w:eastAsia="Calibri" w:cs="Times New Roman"/>
          <w:b/>
          <w:szCs w:val="24"/>
        </w:rPr>
      </w:pPr>
      <w:r>
        <w:rPr>
          <w:rFonts w:eastAsia="Calibri" w:cs="Times New Roman"/>
          <w:b/>
          <w:szCs w:val="24"/>
        </w:rPr>
        <w:t>TxETRA</w:t>
      </w:r>
    </w:p>
    <w:p w14:paraId="4D697483" w14:textId="77777777" w:rsidR="0036376C" w:rsidRDefault="0036376C" w:rsidP="00AD764D">
      <w:pPr>
        <w:pStyle w:val="Heading1"/>
      </w:pPr>
    </w:p>
    <w:p w14:paraId="1F2AE5A7" w14:textId="77777777" w:rsidR="00475586" w:rsidRPr="002C7CD3" w:rsidRDefault="00475586" w:rsidP="000B5BFC">
      <w:pPr>
        <w:spacing w:line="360" w:lineRule="auto"/>
        <w:ind w:firstLine="0"/>
        <w:rPr>
          <w:b/>
          <w:bCs/>
          <w:sz w:val="22"/>
        </w:rPr>
      </w:pPr>
      <w:r w:rsidRPr="002C7CD3">
        <w:rPr>
          <w:b/>
          <w:bCs/>
          <w:sz w:val="22"/>
        </w:rPr>
        <w:t>INTRODUCTION</w:t>
      </w:r>
    </w:p>
    <w:p w14:paraId="4BB8FFE6" w14:textId="193B93F3" w:rsidR="00475586" w:rsidRPr="002C7CD3" w:rsidRDefault="00475586" w:rsidP="00A5211C">
      <w:pPr>
        <w:spacing w:before="240" w:line="360" w:lineRule="auto"/>
        <w:jc w:val="both"/>
        <w:rPr>
          <w:rFonts w:cs="Times New Roman"/>
          <w:sz w:val="22"/>
        </w:rPr>
      </w:pPr>
      <w:r w:rsidRPr="002C7CD3">
        <w:rPr>
          <w:rFonts w:cs="Times New Roman"/>
          <w:sz w:val="22"/>
        </w:rPr>
        <w:t xml:space="preserve">The Texas Electric Transportation Resources Alliance (TxETRA) is pleased to submit the answers to the following questions in </w:t>
      </w:r>
      <w:r w:rsidR="00B966B5">
        <w:rPr>
          <w:rFonts w:cs="Times New Roman"/>
          <w:sz w:val="22"/>
        </w:rPr>
        <w:t>Project No.</w:t>
      </w:r>
      <w:r w:rsidRPr="002C7CD3">
        <w:rPr>
          <w:rFonts w:cs="Times New Roman"/>
          <w:sz w:val="22"/>
        </w:rPr>
        <w:t xml:space="preserve"> 49125. TxETRA is comprised of utilities, electric vehicle manufacturers</w:t>
      </w:r>
      <w:r w:rsidR="00DD7E5F">
        <w:rPr>
          <w:rFonts w:cs="Times New Roman"/>
          <w:sz w:val="22"/>
        </w:rPr>
        <w:t>,</w:t>
      </w:r>
      <w:r w:rsidRPr="002C7CD3">
        <w:rPr>
          <w:rFonts w:cs="Times New Roman"/>
          <w:sz w:val="22"/>
        </w:rPr>
        <w:t xml:space="preserve"> charging companies and non-profit consumer and environmental organizations. The answers to the questions below are a result of a series of meetings held to discuss our answers that we agree to between ourselves. Further answers by individual members are being submitted. This set of answers does not necessarily reflect the diversity of our members’ positions. </w:t>
      </w:r>
    </w:p>
    <w:p w14:paraId="133DF84B" w14:textId="77777777" w:rsidR="00475586" w:rsidRPr="002C7CD3" w:rsidRDefault="00475586" w:rsidP="00A5211C">
      <w:pPr>
        <w:spacing w:line="360" w:lineRule="auto"/>
        <w:jc w:val="both"/>
        <w:rPr>
          <w:rFonts w:cs="Times New Roman"/>
          <w:sz w:val="22"/>
        </w:rPr>
      </w:pPr>
      <w:r w:rsidRPr="002C7CD3">
        <w:rPr>
          <w:rFonts w:cs="Times New Roman"/>
          <w:sz w:val="22"/>
        </w:rPr>
        <w:t xml:space="preserve">Electric Vehicles (EVs) are about to roll into Texas in a big wave. The decisions the Commission will be making over the next several years will be the difference between being inundated and surfing. </w:t>
      </w:r>
    </w:p>
    <w:p w14:paraId="4B6B11A3" w14:textId="7C31F864" w:rsidR="00475586" w:rsidRPr="002C7CD3" w:rsidRDefault="00475586" w:rsidP="00A5211C">
      <w:pPr>
        <w:spacing w:line="360" w:lineRule="auto"/>
        <w:jc w:val="both"/>
        <w:rPr>
          <w:rFonts w:cs="Times New Roman"/>
          <w:sz w:val="22"/>
        </w:rPr>
      </w:pPr>
      <w:r w:rsidRPr="002C7CD3">
        <w:rPr>
          <w:rFonts w:cs="Times New Roman"/>
          <w:sz w:val="22"/>
        </w:rPr>
        <w:t xml:space="preserve">The EV wave is coming to Texas and the United </w:t>
      </w:r>
      <w:r w:rsidR="00A646C6" w:rsidRPr="002C7CD3">
        <w:rPr>
          <w:rFonts w:cs="Times New Roman"/>
          <w:sz w:val="22"/>
        </w:rPr>
        <w:t>S</w:t>
      </w:r>
      <w:r w:rsidRPr="002C7CD3">
        <w:rPr>
          <w:rFonts w:cs="Times New Roman"/>
          <w:sz w:val="22"/>
        </w:rPr>
        <w:t xml:space="preserve">tates because EVs are cheaper and cleaner to operate.  They are inherently more efficient, durable and reliable. Because they are far less polluting, China, India and European countries have adopted laws </w:t>
      </w:r>
      <w:r w:rsidR="00DD7E5F">
        <w:rPr>
          <w:rFonts w:cs="Times New Roman"/>
          <w:sz w:val="22"/>
        </w:rPr>
        <w:t>or</w:t>
      </w:r>
      <w:r w:rsidRPr="002C7CD3">
        <w:rPr>
          <w:rFonts w:cs="Times New Roman"/>
          <w:sz w:val="22"/>
        </w:rPr>
        <w:t xml:space="preserve"> policies to reduce emissions that can only be met with electric vehicles. Emerging countries have developed the EV manufacturing facilities believing that EVs are a key path to the economic dominance that occurred when the US began mass production of fossil fuel vehicles a century ago.   </w:t>
      </w:r>
    </w:p>
    <w:p w14:paraId="6590837D" w14:textId="147DFC42" w:rsidR="00475586" w:rsidRPr="002C7CD3" w:rsidRDefault="00475586" w:rsidP="00A5211C">
      <w:pPr>
        <w:spacing w:line="360" w:lineRule="auto"/>
        <w:jc w:val="both"/>
        <w:rPr>
          <w:rFonts w:cs="Times New Roman"/>
          <w:sz w:val="22"/>
        </w:rPr>
      </w:pPr>
      <w:r w:rsidRPr="002C7CD3">
        <w:rPr>
          <w:rFonts w:cs="Times New Roman"/>
          <w:sz w:val="22"/>
        </w:rPr>
        <w:t>We have a long “on ramp” to the full-scale adoption of electric vehicles and that will give us plenty of opportunity to adjust our trajectory and speed as we hit various mile markers</w:t>
      </w:r>
      <w:r w:rsidR="00B93A97">
        <w:rPr>
          <w:rFonts w:cs="Times New Roman"/>
          <w:sz w:val="22"/>
        </w:rPr>
        <w:t>.</w:t>
      </w:r>
    </w:p>
    <w:p w14:paraId="7411341D" w14:textId="7A311750" w:rsidR="00475586" w:rsidRPr="002C7CD3" w:rsidRDefault="00475586" w:rsidP="00A5211C">
      <w:pPr>
        <w:spacing w:line="360" w:lineRule="auto"/>
        <w:jc w:val="both"/>
        <w:rPr>
          <w:rFonts w:cs="Times New Roman"/>
          <w:sz w:val="22"/>
        </w:rPr>
      </w:pPr>
      <w:r w:rsidRPr="002C7CD3">
        <w:rPr>
          <w:rFonts w:cs="Times New Roman"/>
          <w:sz w:val="22"/>
        </w:rPr>
        <w:t>EVs will represent a big new load on the grid, much like air conditioning was in the 50s, or server farms were in the 2000s and fracking in</w:t>
      </w:r>
      <w:r w:rsidR="002247CE" w:rsidRPr="002C7CD3">
        <w:rPr>
          <w:rFonts w:cs="Times New Roman"/>
          <w:sz w:val="22"/>
        </w:rPr>
        <w:t xml:space="preserve"> the</w:t>
      </w:r>
      <w:r w:rsidRPr="002C7CD3">
        <w:rPr>
          <w:rFonts w:cs="Times New Roman"/>
          <w:sz w:val="22"/>
        </w:rPr>
        <w:t xml:space="preserve"> 2010s. Just as the system we have in place to analyze the need for grid updates and buil</w:t>
      </w:r>
      <w:r w:rsidR="005D7278" w:rsidRPr="002C7CD3">
        <w:rPr>
          <w:rFonts w:cs="Times New Roman"/>
          <w:sz w:val="22"/>
        </w:rPr>
        <w:t>d</w:t>
      </w:r>
      <w:r w:rsidRPr="002C7CD3">
        <w:rPr>
          <w:rFonts w:cs="Times New Roman"/>
          <w:sz w:val="22"/>
        </w:rPr>
        <w:t xml:space="preserve"> the grid and distribution system effectively deal</w:t>
      </w:r>
      <w:r w:rsidR="005D7278" w:rsidRPr="002C7CD3">
        <w:rPr>
          <w:rFonts w:cs="Times New Roman"/>
          <w:sz w:val="22"/>
        </w:rPr>
        <w:t>t</w:t>
      </w:r>
      <w:r w:rsidRPr="002C7CD3">
        <w:rPr>
          <w:rFonts w:cs="Times New Roman"/>
          <w:sz w:val="22"/>
        </w:rPr>
        <w:t xml:space="preserve"> with those problems, we expect it to do so again. But just like we saw with those waves of technological change, some policy areas will require Commission review and guidance or policy changes. </w:t>
      </w:r>
    </w:p>
    <w:p w14:paraId="53093757" w14:textId="24131788" w:rsidR="00475586" w:rsidRPr="002C7CD3" w:rsidRDefault="00FC6F87" w:rsidP="00A5211C">
      <w:pPr>
        <w:spacing w:line="360" w:lineRule="auto"/>
        <w:jc w:val="both"/>
        <w:rPr>
          <w:rFonts w:cs="Times New Roman"/>
          <w:sz w:val="22"/>
        </w:rPr>
      </w:pPr>
      <w:r w:rsidRPr="002C7CD3">
        <w:rPr>
          <w:rFonts w:cs="Times New Roman"/>
          <w:sz w:val="22"/>
        </w:rPr>
        <w:lastRenderedPageBreak/>
        <w:t>I</w:t>
      </w:r>
      <w:r w:rsidR="00475586" w:rsidRPr="002C7CD3">
        <w:rPr>
          <w:rFonts w:cs="Times New Roman"/>
          <w:sz w:val="22"/>
        </w:rPr>
        <w:t>n the answer to Question #1, we are submitting new estimates of the numbers of EVs that we can expect on the road by 2030, based on international estimates and some of the most widely cited estimates. We also look at the recent shift from sedans to SUVs, which has taken about 10 years and use that as</w:t>
      </w:r>
      <w:r w:rsidR="005D7278" w:rsidRPr="002C7CD3">
        <w:rPr>
          <w:rFonts w:cs="Times New Roman"/>
          <w:sz w:val="22"/>
        </w:rPr>
        <w:t xml:space="preserve"> a</w:t>
      </w:r>
      <w:r w:rsidR="00475586" w:rsidRPr="002C7CD3">
        <w:rPr>
          <w:rFonts w:cs="Times New Roman"/>
          <w:sz w:val="22"/>
        </w:rPr>
        <w:t xml:space="preserve"> model for anticipated EV growth.  </w:t>
      </w:r>
    </w:p>
    <w:p w14:paraId="239CF9B8" w14:textId="28C9969B" w:rsidR="00475586" w:rsidRPr="002C7CD3" w:rsidRDefault="00475586" w:rsidP="00A5211C">
      <w:pPr>
        <w:spacing w:line="360" w:lineRule="auto"/>
        <w:jc w:val="both"/>
        <w:rPr>
          <w:rFonts w:cs="Times New Roman"/>
          <w:sz w:val="22"/>
        </w:rPr>
      </w:pPr>
      <w:r w:rsidRPr="002C7CD3">
        <w:rPr>
          <w:rFonts w:cs="Times New Roman"/>
          <w:sz w:val="22"/>
        </w:rPr>
        <w:t>EVs are a big opportunity to reduce costs for businesses, residential consumers, vehicle owners and utility customers if key policies are adopted and infrastructure is developed statewide.</w:t>
      </w:r>
    </w:p>
    <w:p w14:paraId="630439BC" w14:textId="3535F759" w:rsidR="00052B0A" w:rsidRDefault="00475586" w:rsidP="00A5211C">
      <w:pPr>
        <w:spacing w:line="360" w:lineRule="auto"/>
        <w:jc w:val="both"/>
        <w:rPr>
          <w:rFonts w:cs="Times New Roman"/>
          <w:sz w:val="22"/>
        </w:rPr>
      </w:pPr>
      <w:r w:rsidRPr="002C7CD3">
        <w:rPr>
          <w:rFonts w:cs="Times New Roman"/>
          <w:sz w:val="22"/>
        </w:rPr>
        <w:t>A number of studies</w:t>
      </w:r>
      <w:r w:rsidR="00E962CE" w:rsidRPr="002C7CD3">
        <w:rPr>
          <w:rStyle w:val="FootnoteReference"/>
          <w:rFonts w:cs="Times New Roman"/>
          <w:sz w:val="22"/>
        </w:rPr>
        <w:footnoteReference w:id="1"/>
      </w:r>
      <w:r w:rsidR="00E962CE" w:rsidRPr="002C7CD3">
        <w:rPr>
          <w:rFonts w:cs="Times New Roman"/>
          <w:sz w:val="22"/>
          <w:vertAlign w:val="superscript"/>
        </w:rPr>
        <w:t>,</w:t>
      </w:r>
      <w:r w:rsidR="00E962CE" w:rsidRPr="002C7CD3">
        <w:rPr>
          <w:rStyle w:val="FootnoteReference"/>
          <w:rFonts w:cs="Times New Roman"/>
          <w:sz w:val="22"/>
        </w:rPr>
        <w:footnoteReference w:id="2"/>
      </w:r>
      <w:r w:rsidR="00E962CE" w:rsidRPr="002C7CD3">
        <w:rPr>
          <w:rFonts w:cs="Times New Roman"/>
          <w:sz w:val="22"/>
          <w:vertAlign w:val="superscript"/>
        </w:rPr>
        <w:t>,</w:t>
      </w:r>
      <w:r w:rsidR="00E962CE" w:rsidRPr="002C7CD3">
        <w:rPr>
          <w:rStyle w:val="FootnoteReference"/>
          <w:rFonts w:cs="Times New Roman"/>
          <w:sz w:val="22"/>
        </w:rPr>
        <w:footnoteReference w:id="3"/>
      </w:r>
      <w:r w:rsidR="00E962CE" w:rsidRPr="002C7CD3">
        <w:rPr>
          <w:rFonts w:cs="Times New Roman"/>
          <w:sz w:val="22"/>
        </w:rPr>
        <w:t xml:space="preserve"> </w:t>
      </w:r>
      <w:r w:rsidRPr="002C7CD3">
        <w:rPr>
          <w:rFonts w:cs="Times New Roman"/>
          <w:sz w:val="22"/>
        </w:rPr>
        <w:t xml:space="preserve"> have found that millions of EVs, if properly managed, can be safe</w:t>
      </w:r>
      <w:r w:rsidR="005D7278" w:rsidRPr="002C7CD3">
        <w:rPr>
          <w:rFonts w:cs="Times New Roman"/>
          <w:sz w:val="22"/>
        </w:rPr>
        <w:t>l</w:t>
      </w:r>
      <w:r w:rsidRPr="002C7CD3">
        <w:rPr>
          <w:rFonts w:cs="Times New Roman"/>
          <w:sz w:val="22"/>
        </w:rPr>
        <w:t xml:space="preserve">y plugged into the grid and not overload it </w:t>
      </w:r>
      <w:r w:rsidRPr="00C27ACB">
        <w:rPr>
          <w:rFonts w:cs="Times New Roman"/>
          <w:sz w:val="22"/>
          <w:u w:val="single"/>
        </w:rPr>
        <w:t>if</w:t>
      </w:r>
      <w:r w:rsidRPr="002C7CD3">
        <w:rPr>
          <w:rFonts w:cs="Times New Roman"/>
          <w:sz w:val="22"/>
        </w:rPr>
        <w:t xml:space="preserve"> </w:t>
      </w:r>
      <w:r w:rsidR="00B93A97" w:rsidRPr="002C7CD3">
        <w:rPr>
          <w:rFonts w:cs="Times New Roman"/>
          <w:sz w:val="22"/>
        </w:rPr>
        <w:t>time of use rates are in place</w:t>
      </w:r>
      <w:r w:rsidR="00B93A97">
        <w:rPr>
          <w:rFonts w:cs="Times New Roman"/>
          <w:sz w:val="22"/>
        </w:rPr>
        <w:t xml:space="preserve"> and</w:t>
      </w:r>
      <w:r w:rsidR="00B93A97" w:rsidRPr="002C7CD3">
        <w:rPr>
          <w:rFonts w:cs="Times New Roman"/>
          <w:sz w:val="22"/>
        </w:rPr>
        <w:t xml:space="preserve"> </w:t>
      </w:r>
      <w:r w:rsidRPr="002C7CD3">
        <w:rPr>
          <w:rFonts w:cs="Times New Roman"/>
          <w:sz w:val="22"/>
        </w:rPr>
        <w:t>smart chargers are deployed enabling demand management</w:t>
      </w:r>
      <w:r w:rsidR="00B93A97">
        <w:rPr>
          <w:rFonts w:cs="Times New Roman"/>
          <w:sz w:val="22"/>
        </w:rPr>
        <w:t>. I</w:t>
      </w:r>
      <w:r w:rsidR="00052B0A">
        <w:rPr>
          <w:rFonts w:cs="Times New Roman"/>
          <w:sz w:val="22"/>
        </w:rPr>
        <w:t>n fact</w:t>
      </w:r>
      <w:r w:rsidR="00DD7E5F">
        <w:rPr>
          <w:rFonts w:cs="Times New Roman"/>
          <w:sz w:val="22"/>
        </w:rPr>
        <w:t>,</w:t>
      </w:r>
      <w:r w:rsidR="00052B0A">
        <w:rPr>
          <w:rFonts w:cs="Times New Roman"/>
          <w:sz w:val="22"/>
        </w:rPr>
        <w:t xml:space="preserve"> </w:t>
      </w:r>
      <w:r w:rsidR="00B93A97">
        <w:rPr>
          <w:rFonts w:cs="Times New Roman"/>
          <w:sz w:val="22"/>
        </w:rPr>
        <w:t>it was noted that</w:t>
      </w:r>
      <w:r w:rsidR="00052B0A">
        <w:rPr>
          <w:rFonts w:cs="Times New Roman"/>
          <w:sz w:val="22"/>
        </w:rPr>
        <w:t xml:space="preserve"> “</w:t>
      </w:r>
      <w:r w:rsidR="00052B0A" w:rsidRPr="00052B0A">
        <w:rPr>
          <w:rFonts w:cs="Times New Roman"/>
          <w:sz w:val="22"/>
        </w:rPr>
        <w:t>the Texas grid could theoretically charge a fully electrified vehicle fleet today if vehicles were charged during off-peak hours</w:t>
      </w:r>
      <w:r w:rsidR="00052B0A">
        <w:rPr>
          <w:rFonts w:cs="Times New Roman"/>
          <w:sz w:val="22"/>
        </w:rPr>
        <w:t>.”</w:t>
      </w:r>
      <w:r w:rsidR="001E4A2A">
        <w:rPr>
          <w:rStyle w:val="FootnoteReference"/>
          <w:rFonts w:cs="Times New Roman"/>
          <w:sz w:val="22"/>
        </w:rPr>
        <w:footnoteReference w:id="4"/>
      </w:r>
    </w:p>
    <w:p w14:paraId="5824DE03" w14:textId="72113510" w:rsidR="00475586" w:rsidRPr="002C7CD3" w:rsidRDefault="00475586" w:rsidP="00A5211C">
      <w:pPr>
        <w:spacing w:line="360" w:lineRule="auto"/>
        <w:jc w:val="both"/>
        <w:rPr>
          <w:rFonts w:cs="Times New Roman"/>
          <w:sz w:val="22"/>
        </w:rPr>
      </w:pPr>
      <w:r w:rsidRPr="002C7CD3">
        <w:rPr>
          <w:rFonts w:cs="Times New Roman"/>
          <w:sz w:val="22"/>
        </w:rPr>
        <w:t>Best yet, they can save billions of dollars in grid costs, thus reducing the costs to all customers by using the grid and network of existing generators more efficiently</w:t>
      </w:r>
      <w:r w:rsidR="00CC6F3E" w:rsidRPr="002C7CD3">
        <w:rPr>
          <w:rFonts w:cs="Times New Roman"/>
          <w:sz w:val="22"/>
        </w:rPr>
        <w:t>.</w:t>
      </w:r>
      <w:r w:rsidRPr="002C7CD3">
        <w:rPr>
          <w:rFonts w:cs="Times New Roman"/>
          <w:sz w:val="22"/>
        </w:rPr>
        <w:t xml:space="preserve"> </w:t>
      </w:r>
    </w:p>
    <w:p w14:paraId="1965EE96" w14:textId="5D0E26CF" w:rsidR="00475586" w:rsidRPr="002C7CD3" w:rsidRDefault="00475586" w:rsidP="00A5211C">
      <w:pPr>
        <w:spacing w:line="360" w:lineRule="auto"/>
        <w:jc w:val="both"/>
        <w:rPr>
          <w:rFonts w:cs="Times New Roman"/>
          <w:sz w:val="22"/>
        </w:rPr>
      </w:pPr>
      <w:r w:rsidRPr="002C7CD3">
        <w:rPr>
          <w:rFonts w:cs="Times New Roman"/>
          <w:sz w:val="22"/>
        </w:rPr>
        <w:t xml:space="preserve">The estimated growth in EVs and resultant load may be accelerated or </w:t>
      </w:r>
      <w:r w:rsidR="00CC6F3E" w:rsidRPr="002C7CD3">
        <w:rPr>
          <w:rFonts w:cs="Times New Roman"/>
          <w:sz w:val="22"/>
        </w:rPr>
        <w:t>slowed</w:t>
      </w:r>
      <w:r w:rsidRPr="002C7CD3">
        <w:rPr>
          <w:rFonts w:cs="Times New Roman"/>
          <w:sz w:val="22"/>
        </w:rPr>
        <w:t xml:space="preserve"> by many different factors including </w:t>
      </w:r>
    </w:p>
    <w:p w14:paraId="767EADA1" w14:textId="77777777" w:rsidR="00475586" w:rsidRPr="002C7CD3" w:rsidRDefault="00475586" w:rsidP="00FE0E92">
      <w:pPr>
        <w:pStyle w:val="ListParagraph"/>
        <w:numPr>
          <w:ilvl w:val="0"/>
          <w:numId w:val="10"/>
        </w:numPr>
        <w:spacing w:after="160" w:line="240" w:lineRule="auto"/>
        <w:rPr>
          <w:rFonts w:cs="Times New Roman"/>
          <w:sz w:val="22"/>
        </w:rPr>
      </w:pPr>
      <w:r w:rsidRPr="002C7CD3">
        <w:rPr>
          <w:rFonts w:cs="Times New Roman"/>
          <w:sz w:val="22"/>
        </w:rPr>
        <w:t xml:space="preserve">The types and range of vehicles available </w:t>
      </w:r>
    </w:p>
    <w:p w14:paraId="74D80214" w14:textId="77777777" w:rsidR="00475586" w:rsidRPr="002C7CD3" w:rsidRDefault="00475586" w:rsidP="00FE0E92">
      <w:pPr>
        <w:pStyle w:val="ListParagraph"/>
        <w:numPr>
          <w:ilvl w:val="0"/>
          <w:numId w:val="10"/>
        </w:numPr>
        <w:spacing w:after="160" w:line="240" w:lineRule="auto"/>
        <w:rPr>
          <w:rFonts w:cs="Times New Roman"/>
          <w:sz w:val="22"/>
        </w:rPr>
      </w:pPr>
      <w:r w:rsidRPr="002C7CD3">
        <w:rPr>
          <w:rFonts w:cs="Times New Roman"/>
          <w:sz w:val="22"/>
        </w:rPr>
        <w:t>battery technology</w:t>
      </w:r>
    </w:p>
    <w:p w14:paraId="1DD4BE91" w14:textId="77777777" w:rsidR="00475586" w:rsidRPr="002C7CD3" w:rsidRDefault="00475586" w:rsidP="00FE0E92">
      <w:pPr>
        <w:pStyle w:val="ListParagraph"/>
        <w:numPr>
          <w:ilvl w:val="0"/>
          <w:numId w:val="10"/>
        </w:numPr>
        <w:spacing w:after="160" w:line="240" w:lineRule="auto"/>
        <w:rPr>
          <w:rFonts w:cs="Times New Roman"/>
          <w:sz w:val="22"/>
        </w:rPr>
      </w:pPr>
      <w:r w:rsidRPr="002C7CD3">
        <w:rPr>
          <w:rFonts w:cs="Times New Roman"/>
          <w:sz w:val="22"/>
        </w:rPr>
        <w:t xml:space="preserve">charging technology </w:t>
      </w:r>
    </w:p>
    <w:p w14:paraId="059F798D" w14:textId="77777777" w:rsidR="00475586" w:rsidRPr="002C7CD3" w:rsidRDefault="00475586" w:rsidP="00FE0E92">
      <w:pPr>
        <w:pStyle w:val="ListParagraph"/>
        <w:numPr>
          <w:ilvl w:val="0"/>
          <w:numId w:val="10"/>
        </w:numPr>
        <w:spacing w:after="160" w:line="240" w:lineRule="auto"/>
        <w:rPr>
          <w:rFonts w:cs="Times New Roman"/>
          <w:sz w:val="22"/>
        </w:rPr>
      </w:pPr>
      <w:r w:rsidRPr="002C7CD3">
        <w:rPr>
          <w:rFonts w:cs="Times New Roman"/>
          <w:sz w:val="22"/>
        </w:rPr>
        <w:t xml:space="preserve">storage technology </w:t>
      </w:r>
    </w:p>
    <w:p w14:paraId="5206C487" w14:textId="77777777" w:rsidR="00475586" w:rsidRPr="002C7CD3" w:rsidRDefault="00475586" w:rsidP="00FE0E92">
      <w:pPr>
        <w:pStyle w:val="ListParagraph"/>
        <w:numPr>
          <w:ilvl w:val="0"/>
          <w:numId w:val="10"/>
        </w:numPr>
        <w:spacing w:after="160" w:line="240" w:lineRule="auto"/>
        <w:rPr>
          <w:rFonts w:cs="Times New Roman"/>
          <w:sz w:val="22"/>
        </w:rPr>
      </w:pPr>
      <w:r w:rsidRPr="002C7CD3">
        <w:rPr>
          <w:rFonts w:cs="Times New Roman"/>
          <w:sz w:val="22"/>
        </w:rPr>
        <w:t xml:space="preserve">motors </w:t>
      </w:r>
    </w:p>
    <w:p w14:paraId="68AE529F" w14:textId="77777777" w:rsidR="00475586" w:rsidRPr="002C7CD3" w:rsidRDefault="00475586" w:rsidP="00FE0E92">
      <w:pPr>
        <w:pStyle w:val="ListParagraph"/>
        <w:numPr>
          <w:ilvl w:val="0"/>
          <w:numId w:val="10"/>
        </w:numPr>
        <w:spacing w:after="160" w:line="240" w:lineRule="auto"/>
        <w:rPr>
          <w:rFonts w:cs="Times New Roman"/>
          <w:sz w:val="22"/>
        </w:rPr>
      </w:pPr>
      <w:r w:rsidRPr="002C7CD3">
        <w:rPr>
          <w:rFonts w:cs="Times New Roman"/>
          <w:sz w:val="22"/>
        </w:rPr>
        <w:t xml:space="preserve">vehicle weight </w:t>
      </w:r>
    </w:p>
    <w:p w14:paraId="02A486F7" w14:textId="77777777" w:rsidR="00475586" w:rsidRPr="002C7CD3" w:rsidRDefault="00475586" w:rsidP="00FE0E92">
      <w:pPr>
        <w:pStyle w:val="ListParagraph"/>
        <w:numPr>
          <w:ilvl w:val="0"/>
          <w:numId w:val="10"/>
        </w:numPr>
        <w:spacing w:after="160" w:line="240" w:lineRule="auto"/>
        <w:rPr>
          <w:rFonts w:cs="Times New Roman"/>
          <w:sz w:val="22"/>
        </w:rPr>
      </w:pPr>
      <w:r w:rsidRPr="002C7CD3">
        <w:rPr>
          <w:rFonts w:cs="Times New Roman"/>
          <w:sz w:val="22"/>
        </w:rPr>
        <w:t xml:space="preserve">environmental demands </w:t>
      </w:r>
    </w:p>
    <w:p w14:paraId="7CDA661A" w14:textId="77777777" w:rsidR="00475586" w:rsidRPr="002C7CD3" w:rsidRDefault="00475586" w:rsidP="00FE0E92">
      <w:pPr>
        <w:pStyle w:val="ListParagraph"/>
        <w:numPr>
          <w:ilvl w:val="0"/>
          <w:numId w:val="10"/>
        </w:numPr>
        <w:spacing w:after="160" w:line="240" w:lineRule="auto"/>
        <w:rPr>
          <w:rFonts w:cs="Times New Roman"/>
          <w:sz w:val="22"/>
        </w:rPr>
      </w:pPr>
      <w:r w:rsidRPr="002C7CD3">
        <w:rPr>
          <w:rFonts w:cs="Times New Roman"/>
          <w:sz w:val="22"/>
        </w:rPr>
        <w:t>legislative action or incentives</w:t>
      </w:r>
    </w:p>
    <w:p w14:paraId="618BF260" w14:textId="3EDC972C" w:rsidR="00475586" w:rsidRPr="002C7CD3" w:rsidRDefault="005175ED" w:rsidP="00FE0E92">
      <w:pPr>
        <w:pStyle w:val="ListParagraph"/>
        <w:numPr>
          <w:ilvl w:val="0"/>
          <w:numId w:val="10"/>
        </w:numPr>
        <w:spacing w:after="160" w:line="240" w:lineRule="auto"/>
        <w:rPr>
          <w:rFonts w:cs="Times New Roman"/>
          <w:sz w:val="22"/>
        </w:rPr>
      </w:pPr>
      <w:r>
        <w:rPr>
          <w:rFonts w:cs="Times New Roman"/>
          <w:sz w:val="22"/>
        </w:rPr>
        <w:t>new technologies connecting electric vehicles to other devices (V2X)</w:t>
      </w:r>
    </w:p>
    <w:p w14:paraId="19A1686E" w14:textId="4B6AA296" w:rsidR="00347078" w:rsidRPr="002C7CD3" w:rsidRDefault="00347078" w:rsidP="00FE0E92">
      <w:pPr>
        <w:pStyle w:val="ListParagraph"/>
        <w:numPr>
          <w:ilvl w:val="0"/>
          <w:numId w:val="10"/>
        </w:numPr>
        <w:spacing w:after="160" w:line="240" w:lineRule="auto"/>
        <w:rPr>
          <w:rFonts w:cs="Times New Roman"/>
          <w:sz w:val="22"/>
        </w:rPr>
      </w:pPr>
      <w:r w:rsidRPr="002C7CD3">
        <w:rPr>
          <w:rFonts w:cs="Times New Roman"/>
          <w:sz w:val="22"/>
        </w:rPr>
        <w:t>widespread use of autonomous vehicles</w:t>
      </w:r>
    </w:p>
    <w:p w14:paraId="50DE3241" w14:textId="30BEEC35" w:rsidR="00475586" w:rsidRPr="002C7CD3" w:rsidRDefault="00475586" w:rsidP="000B5BFC">
      <w:pPr>
        <w:spacing w:line="360" w:lineRule="auto"/>
        <w:rPr>
          <w:rFonts w:cs="Times New Roman"/>
          <w:sz w:val="22"/>
        </w:rPr>
      </w:pPr>
      <w:r w:rsidRPr="002C7CD3">
        <w:rPr>
          <w:rFonts w:cs="Times New Roman"/>
          <w:sz w:val="22"/>
        </w:rPr>
        <w:t xml:space="preserve">Planning for and monitoring of trends in EV adoption and usage regularly </w:t>
      </w:r>
      <w:r w:rsidR="00CC6F3E" w:rsidRPr="002C7CD3">
        <w:rPr>
          <w:rFonts w:cs="Times New Roman"/>
          <w:sz w:val="22"/>
        </w:rPr>
        <w:t>could</w:t>
      </w:r>
      <w:r w:rsidRPr="002C7CD3">
        <w:rPr>
          <w:rFonts w:cs="Times New Roman"/>
          <w:sz w:val="22"/>
        </w:rPr>
        <w:t xml:space="preserve"> result in lower costs for infrastructure expansions that may be needed. </w:t>
      </w:r>
    </w:p>
    <w:p w14:paraId="773AB83C" w14:textId="77777777" w:rsidR="00475586" w:rsidRPr="002C7CD3" w:rsidRDefault="00475586" w:rsidP="000B5BFC">
      <w:pPr>
        <w:spacing w:line="360" w:lineRule="auto"/>
        <w:rPr>
          <w:rFonts w:cs="Times New Roman"/>
          <w:sz w:val="22"/>
        </w:rPr>
      </w:pPr>
      <w:r w:rsidRPr="002C7CD3">
        <w:rPr>
          <w:rFonts w:cs="Times New Roman"/>
          <w:sz w:val="22"/>
        </w:rPr>
        <w:t xml:space="preserve">There are a number of ways that the Commission can pave the way to EV adoption, including: </w:t>
      </w:r>
    </w:p>
    <w:p w14:paraId="22BAC0B9" w14:textId="7ADDD813" w:rsidR="00475586" w:rsidRPr="002C7CD3" w:rsidRDefault="00475586" w:rsidP="000B5BFC">
      <w:pPr>
        <w:pStyle w:val="ListParagraph"/>
        <w:numPr>
          <w:ilvl w:val="0"/>
          <w:numId w:val="11"/>
        </w:numPr>
        <w:spacing w:after="160" w:line="360" w:lineRule="auto"/>
        <w:rPr>
          <w:rFonts w:cs="Times New Roman"/>
          <w:sz w:val="22"/>
        </w:rPr>
      </w:pPr>
      <w:r w:rsidRPr="002C7CD3">
        <w:rPr>
          <w:rFonts w:cs="Times New Roman"/>
          <w:sz w:val="22"/>
        </w:rPr>
        <w:t>The Commission should adopt projections with low-, medium- and high rates of EV adoption and update them bi-annually</w:t>
      </w:r>
      <w:r w:rsidR="00B94439">
        <w:rPr>
          <w:rFonts w:cs="Times New Roman"/>
          <w:sz w:val="22"/>
        </w:rPr>
        <w:t>.</w:t>
      </w:r>
      <w:r w:rsidRPr="002C7CD3">
        <w:rPr>
          <w:rFonts w:cs="Times New Roman"/>
          <w:sz w:val="22"/>
        </w:rPr>
        <w:t xml:space="preserve"> </w:t>
      </w:r>
    </w:p>
    <w:p w14:paraId="71803479" w14:textId="2BB73888" w:rsidR="00475586" w:rsidRPr="002C7CD3" w:rsidRDefault="00475586" w:rsidP="000B5BFC">
      <w:pPr>
        <w:pStyle w:val="ListParagraph"/>
        <w:numPr>
          <w:ilvl w:val="0"/>
          <w:numId w:val="11"/>
        </w:numPr>
        <w:spacing w:after="160" w:line="360" w:lineRule="auto"/>
        <w:rPr>
          <w:rFonts w:cs="Times New Roman"/>
          <w:sz w:val="22"/>
        </w:rPr>
      </w:pPr>
      <w:r w:rsidRPr="002C7CD3">
        <w:rPr>
          <w:rFonts w:cs="Times New Roman"/>
          <w:sz w:val="22"/>
        </w:rPr>
        <w:t xml:space="preserve">The Commission should explore ways to reduce </w:t>
      </w:r>
      <w:r w:rsidR="00CC6F3E" w:rsidRPr="002C7CD3">
        <w:rPr>
          <w:rFonts w:cs="Times New Roman"/>
          <w:sz w:val="22"/>
        </w:rPr>
        <w:t xml:space="preserve">and/or shift </w:t>
      </w:r>
      <w:r w:rsidRPr="002C7CD3">
        <w:rPr>
          <w:rFonts w:cs="Times New Roman"/>
          <w:sz w:val="22"/>
        </w:rPr>
        <w:t>charging load</w:t>
      </w:r>
      <w:r w:rsidR="00B94439">
        <w:rPr>
          <w:rFonts w:cs="Times New Roman"/>
          <w:sz w:val="22"/>
        </w:rPr>
        <w:t>.</w:t>
      </w:r>
    </w:p>
    <w:p w14:paraId="5E69F9CB" w14:textId="0514B4E3" w:rsidR="00475586" w:rsidRPr="002C7CD3" w:rsidRDefault="00475586" w:rsidP="000B5BFC">
      <w:pPr>
        <w:pStyle w:val="ListParagraph"/>
        <w:numPr>
          <w:ilvl w:val="0"/>
          <w:numId w:val="11"/>
        </w:numPr>
        <w:spacing w:after="160" w:line="360" w:lineRule="auto"/>
        <w:rPr>
          <w:rFonts w:cs="Times New Roman"/>
          <w:sz w:val="22"/>
        </w:rPr>
      </w:pPr>
      <w:r w:rsidRPr="002C7CD3">
        <w:rPr>
          <w:rFonts w:cs="Times New Roman"/>
          <w:sz w:val="22"/>
        </w:rPr>
        <w:lastRenderedPageBreak/>
        <w:t xml:space="preserve">The Commission should set up a process for </w:t>
      </w:r>
      <w:r w:rsidR="001413B0" w:rsidRPr="002C7CD3">
        <w:rPr>
          <w:rFonts w:cs="Times New Roman"/>
          <w:sz w:val="22"/>
        </w:rPr>
        <w:t>Transmission and Distribution Service Providers</w:t>
      </w:r>
      <w:r w:rsidR="00B94439">
        <w:rPr>
          <w:rFonts w:cs="Times New Roman"/>
          <w:sz w:val="22"/>
        </w:rPr>
        <w:t xml:space="preserve"> (TDSPs)</w:t>
      </w:r>
      <w:r w:rsidRPr="002C7CD3">
        <w:rPr>
          <w:rFonts w:cs="Times New Roman"/>
          <w:sz w:val="22"/>
        </w:rPr>
        <w:t xml:space="preserve"> for estimating load from </w:t>
      </w:r>
      <w:r w:rsidR="00B94439">
        <w:rPr>
          <w:rFonts w:cs="Times New Roman"/>
          <w:sz w:val="22"/>
        </w:rPr>
        <w:t xml:space="preserve">potential </w:t>
      </w:r>
      <w:r w:rsidRPr="002C7CD3">
        <w:rPr>
          <w:rFonts w:cs="Times New Roman"/>
          <w:sz w:val="22"/>
        </w:rPr>
        <w:t>hot spots</w:t>
      </w:r>
      <w:r w:rsidR="00B94439">
        <w:rPr>
          <w:rFonts w:cs="Times New Roman"/>
          <w:sz w:val="22"/>
        </w:rPr>
        <w:t>.</w:t>
      </w:r>
      <w:r w:rsidRPr="002C7CD3">
        <w:rPr>
          <w:rFonts w:cs="Times New Roman"/>
          <w:sz w:val="22"/>
        </w:rPr>
        <w:t xml:space="preserve"> </w:t>
      </w:r>
    </w:p>
    <w:p w14:paraId="22A0DA0F" w14:textId="77777777" w:rsidR="00475586" w:rsidRPr="002C7CD3" w:rsidRDefault="00475586" w:rsidP="000B5BFC">
      <w:pPr>
        <w:pStyle w:val="ListParagraph"/>
        <w:numPr>
          <w:ilvl w:val="0"/>
          <w:numId w:val="11"/>
        </w:numPr>
        <w:spacing w:after="160" w:line="360" w:lineRule="auto"/>
        <w:rPr>
          <w:rFonts w:cs="Times New Roman"/>
          <w:sz w:val="22"/>
        </w:rPr>
      </w:pPr>
      <w:r w:rsidRPr="002C7CD3">
        <w:rPr>
          <w:rFonts w:cs="Times New Roman"/>
          <w:sz w:val="22"/>
        </w:rPr>
        <w:t xml:space="preserve">Policy may be needed to encourage charging infrastructure investments in underserved areas such as rural communities and low-income neighborhoods. </w:t>
      </w:r>
    </w:p>
    <w:p w14:paraId="0FDA27DA" w14:textId="77777777" w:rsidR="00475586" w:rsidRPr="002C7CD3" w:rsidRDefault="00475586" w:rsidP="000B5BFC">
      <w:pPr>
        <w:pStyle w:val="ListParagraph"/>
        <w:numPr>
          <w:ilvl w:val="0"/>
          <w:numId w:val="11"/>
        </w:numPr>
        <w:spacing w:after="160" w:line="360" w:lineRule="auto"/>
        <w:rPr>
          <w:rFonts w:cs="Times New Roman"/>
          <w:sz w:val="22"/>
        </w:rPr>
      </w:pPr>
      <w:r w:rsidRPr="002C7CD3">
        <w:rPr>
          <w:rFonts w:cs="Times New Roman"/>
          <w:sz w:val="22"/>
        </w:rPr>
        <w:t xml:space="preserve">The Commission should develop policies to regularly review technologies and adjust expected demand as technology changes. </w:t>
      </w:r>
    </w:p>
    <w:p w14:paraId="6E9995DA" w14:textId="77777777" w:rsidR="00FC6F87" w:rsidRPr="002C7CD3" w:rsidRDefault="00475586" w:rsidP="00A5211C">
      <w:pPr>
        <w:spacing w:line="360" w:lineRule="auto"/>
        <w:jc w:val="both"/>
        <w:rPr>
          <w:rFonts w:cs="Times New Roman"/>
          <w:sz w:val="22"/>
        </w:rPr>
      </w:pPr>
      <w:r w:rsidRPr="002C7CD3">
        <w:rPr>
          <w:rFonts w:cs="Times New Roman"/>
          <w:sz w:val="22"/>
        </w:rPr>
        <w:t xml:space="preserve">We’re on the road to rapid adoption of EV’s. The questions the Commission has asked are a good start but will certainly raise more questions. We suggest a series of workshops be held bringing in experts from around the country. </w:t>
      </w:r>
    </w:p>
    <w:p w14:paraId="4FEBA5B1" w14:textId="53577ABC" w:rsidR="00475586" w:rsidRPr="002C7CD3" w:rsidRDefault="00475586" w:rsidP="00A5211C">
      <w:pPr>
        <w:spacing w:line="360" w:lineRule="auto"/>
        <w:jc w:val="both"/>
        <w:rPr>
          <w:rFonts w:cs="Times New Roman"/>
          <w:sz w:val="22"/>
        </w:rPr>
      </w:pPr>
      <w:r w:rsidRPr="002C7CD3">
        <w:rPr>
          <w:rFonts w:cs="Times New Roman"/>
          <w:sz w:val="22"/>
        </w:rPr>
        <w:t xml:space="preserve">Together, we are about to begin a new journey into the world of EVs. The good news is that like a road trip we can expect bumps, congestion and detours but </w:t>
      </w:r>
      <w:r w:rsidR="00DD7E5F">
        <w:rPr>
          <w:rFonts w:cs="Times New Roman"/>
          <w:sz w:val="22"/>
        </w:rPr>
        <w:t xml:space="preserve">since </w:t>
      </w:r>
      <w:r w:rsidRPr="002C7CD3">
        <w:rPr>
          <w:rFonts w:cs="Times New Roman"/>
          <w:sz w:val="22"/>
        </w:rPr>
        <w:t>we are not the first to take this road</w:t>
      </w:r>
      <w:r w:rsidR="001413B0" w:rsidRPr="002C7CD3">
        <w:rPr>
          <w:rFonts w:cs="Times New Roman"/>
          <w:sz w:val="22"/>
        </w:rPr>
        <w:t xml:space="preserve"> </w:t>
      </w:r>
      <w:r w:rsidRPr="002C7CD3">
        <w:rPr>
          <w:rFonts w:cs="Times New Roman"/>
          <w:sz w:val="22"/>
        </w:rPr>
        <w:t xml:space="preserve">so there are many roadmaps to learn from. </w:t>
      </w:r>
    </w:p>
    <w:p w14:paraId="641F4870" w14:textId="19974646" w:rsidR="00475586" w:rsidRPr="002C7CD3" w:rsidRDefault="00475586" w:rsidP="00A5211C">
      <w:pPr>
        <w:spacing w:line="360" w:lineRule="auto"/>
        <w:jc w:val="both"/>
        <w:rPr>
          <w:rFonts w:cs="Times New Roman"/>
          <w:sz w:val="22"/>
        </w:rPr>
      </w:pPr>
      <w:r w:rsidRPr="002C7CD3">
        <w:rPr>
          <w:rFonts w:cs="Times New Roman"/>
          <w:sz w:val="22"/>
        </w:rPr>
        <w:t xml:space="preserve">Away we zoom . . . . </w:t>
      </w:r>
    </w:p>
    <w:p w14:paraId="6560AE3E" w14:textId="77777777" w:rsidR="00475586" w:rsidRDefault="00475586" w:rsidP="000B5BFC">
      <w:pPr>
        <w:spacing w:after="160" w:line="360" w:lineRule="auto"/>
        <w:ind w:firstLine="0"/>
        <w:rPr>
          <w:b/>
          <w:bCs/>
        </w:rPr>
      </w:pPr>
      <w:r>
        <w:rPr>
          <w:b/>
          <w:bCs/>
        </w:rPr>
        <w:br w:type="page"/>
      </w:r>
    </w:p>
    <w:p w14:paraId="20C5263D" w14:textId="5B6FA6D9" w:rsidR="0036376C" w:rsidRPr="002C7CD3" w:rsidRDefault="00CD64AD" w:rsidP="000B5BFC">
      <w:pPr>
        <w:spacing w:line="360" w:lineRule="auto"/>
        <w:ind w:firstLine="0"/>
        <w:rPr>
          <w:b/>
          <w:bCs/>
          <w:sz w:val="22"/>
        </w:rPr>
      </w:pPr>
      <w:r w:rsidRPr="002C7CD3">
        <w:rPr>
          <w:b/>
          <w:bCs/>
          <w:sz w:val="22"/>
        </w:rPr>
        <w:lastRenderedPageBreak/>
        <w:t>QUESTION</w:t>
      </w:r>
      <w:r w:rsidR="001F5230" w:rsidRPr="002C7CD3">
        <w:rPr>
          <w:b/>
          <w:bCs/>
          <w:sz w:val="22"/>
        </w:rPr>
        <w:t xml:space="preserve"> #1</w:t>
      </w:r>
      <w:r w:rsidRPr="002C7CD3">
        <w:rPr>
          <w:b/>
          <w:bCs/>
          <w:sz w:val="22"/>
        </w:rPr>
        <w:t xml:space="preserve"> </w:t>
      </w:r>
    </w:p>
    <w:p w14:paraId="53C18966" w14:textId="27D13AAF" w:rsidR="006E0CAF" w:rsidRPr="002C7CD3" w:rsidRDefault="0001716A" w:rsidP="00FE0E92">
      <w:pPr>
        <w:spacing w:line="240" w:lineRule="auto"/>
        <w:ind w:firstLine="0"/>
        <w:jc w:val="both"/>
        <w:rPr>
          <w:b/>
          <w:bCs/>
          <w:sz w:val="22"/>
        </w:rPr>
      </w:pPr>
      <w:r w:rsidRPr="002C7CD3">
        <w:rPr>
          <w:rFonts w:cs="Times New Roman"/>
          <w:b/>
          <w:bCs/>
          <w:sz w:val="22"/>
        </w:rPr>
        <w:t>The Commission requests that parties provide current data sources and projections for the expected deployment of electric vehicles in Texas over the next ten years.</w:t>
      </w:r>
      <w:r w:rsidR="00862F4F" w:rsidRPr="002C7CD3">
        <w:rPr>
          <w:rFonts w:cs="Times New Roman"/>
          <w:b/>
          <w:bCs/>
          <w:sz w:val="22"/>
        </w:rPr>
        <w:t xml:space="preserve"> </w:t>
      </w:r>
      <w:r w:rsidRPr="002C7CD3">
        <w:rPr>
          <w:rFonts w:cs="Times New Roman"/>
          <w:b/>
          <w:bCs/>
          <w:sz w:val="22"/>
        </w:rPr>
        <w:t>If available sources should attribute the projections by vehicle (i.e., personal, commercial short</w:t>
      </w:r>
      <w:r w:rsidR="007744AA" w:rsidRPr="002C7CD3">
        <w:rPr>
          <w:rFonts w:cs="Times New Roman"/>
          <w:b/>
          <w:bCs/>
          <w:sz w:val="22"/>
        </w:rPr>
        <w:t xml:space="preserve"> </w:t>
      </w:r>
      <w:r w:rsidRPr="002C7CD3">
        <w:rPr>
          <w:rFonts w:cs="Times New Roman"/>
          <w:b/>
          <w:bCs/>
          <w:sz w:val="22"/>
        </w:rPr>
        <w:t>haul including fleets and buses, and commercial long-haul electric vehicles).</w:t>
      </w:r>
    </w:p>
    <w:p w14:paraId="42C0EDD0" w14:textId="0F0DE8A6" w:rsidR="005632DC" w:rsidRPr="002C7CD3" w:rsidRDefault="00CD64AD" w:rsidP="000B5BFC">
      <w:pPr>
        <w:spacing w:before="240" w:line="360" w:lineRule="auto"/>
        <w:jc w:val="both"/>
        <w:rPr>
          <w:rFonts w:cs="Times New Roman"/>
          <w:sz w:val="22"/>
        </w:rPr>
      </w:pPr>
      <w:r w:rsidRPr="002C7CD3">
        <w:rPr>
          <w:rFonts w:cs="Times New Roman"/>
          <w:sz w:val="22"/>
        </w:rPr>
        <w:t xml:space="preserve">The number of electric vehicles to be deployed over the next ten years is highly dependent on numerous factors including battery prices, fuel prices, </w:t>
      </w:r>
      <w:r w:rsidR="008A48B7" w:rsidRPr="002C7CD3">
        <w:rPr>
          <w:rFonts w:cs="Times New Roman"/>
          <w:sz w:val="22"/>
        </w:rPr>
        <w:t xml:space="preserve">consumer model choices, </w:t>
      </w:r>
      <w:r w:rsidR="005632DC" w:rsidRPr="002C7CD3">
        <w:rPr>
          <w:rFonts w:cs="Times New Roman"/>
          <w:sz w:val="22"/>
        </w:rPr>
        <w:t xml:space="preserve">auto manufacturer </w:t>
      </w:r>
      <w:r w:rsidR="008A48B7" w:rsidRPr="002C7CD3">
        <w:rPr>
          <w:rFonts w:cs="Times New Roman"/>
          <w:sz w:val="22"/>
        </w:rPr>
        <w:t xml:space="preserve">marketing, production scale, new technologies, and policy incentives. For this analysis, </w:t>
      </w:r>
      <w:r w:rsidR="00780673" w:rsidRPr="002C7CD3">
        <w:rPr>
          <w:rFonts w:cs="Times New Roman"/>
          <w:sz w:val="22"/>
        </w:rPr>
        <w:t xml:space="preserve">vehicles are segmented into </w:t>
      </w:r>
      <w:r w:rsidR="00A52629" w:rsidRPr="002C7CD3">
        <w:rPr>
          <w:rFonts w:cs="Times New Roman"/>
          <w:sz w:val="22"/>
        </w:rPr>
        <w:t>light duty</w:t>
      </w:r>
      <w:r w:rsidR="00C84954" w:rsidRPr="002C7CD3">
        <w:rPr>
          <w:rFonts w:cs="Times New Roman"/>
          <w:sz w:val="22"/>
        </w:rPr>
        <w:t xml:space="preserve">, buses, and trucks. For </w:t>
      </w:r>
      <w:r w:rsidR="009C2724" w:rsidRPr="002C7CD3">
        <w:rPr>
          <w:rFonts w:cs="Times New Roman"/>
          <w:sz w:val="22"/>
        </w:rPr>
        <w:t xml:space="preserve">light duty vehicles there are </w:t>
      </w:r>
      <w:r w:rsidR="008A48B7" w:rsidRPr="002C7CD3">
        <w:rPr>
          <w:rFonts w:cs="Times New Roman"/>
          <w:sz w:val="22"/>
        </w:rPr>
        <w:t xml:space="preserve">three scenarios presented: </w:t>
      </w:r>
      <w:r w:rsidR="00F0603A" w:rsidRPr="002C7CD3">
        <w:rPr>
          <w:rFonts w:cs="Times New Roman"/>
          <w:sz w:val="22"/>
        </w:rPr>
        <w:t>International Energy Agency (</w:t>
      </w:r>
      <w:r w:rsidR="0051214E" w:rsidRPr="002C7CD3">
        <w:rPr>
          <w:rFonts w:cs="Times New Roman"/>
          <w:sz w:val="22"/>
        </w:rPr>
        <w:t>IE</w:t>
      </w:r>
      <w:r w:rsidR="005B7959" w:rsidRPr="002C7CD3">
        <w:rPr>
          <w:rFonts w:cs="Times New Roman"/>
          <w:sz w:val="22"/>
        </w:rPr>
        <w:t>A</w:t>
      </w:r>
      <w:r w:rsidR="00F0603A" w:rsidRPr="002C7CD3">
        <w:rPr>
          <w:rFonts w:cs="Times New Roman"/>
          <w:sz w:val="22"/>
        </w:rPr>
        <w:t>)</w:t>
      </w:r>
      <w:r w:rsidR="0051214E" w:rsidRPr="002C7CD3">
        <w:rPr>
          <w:rFonts w:cs="Times New Roman"/>
          <w:sz w:val="22"/>
        </w:rPr>
        <w:t xml:space="preserve"> New Policies Scenario</w:t>
      </w:r>
      <w:r w:rsidR="00FE377C" w:rsidRPr="002C7CD3">
        <w:rPr>
          <w:rFonts w:cs="Times New Roman"/>
          <w:sz w:val="22"/>
        </w:rPr>
        <w:t xml:space="preserve"> (NPS)</w:t>
      </w:r>
      <w:r w:rsidR="0051214E" w:rsidRPr="002C7CD3">
        <w:rPr>
          <w:rFonts w:cs="Times New Roman"/>
          <w:sz w:val="22"/>
        </w:rPr>
        <w:t>,</w:t>
      </w:r>
      <w:r w:rsidR="005632DC" w:rsidRPr="002C7CD3">
        <w:rPr>
          <w:rStyle w:val="FootnoteReference"/>
          <w:rFonts w:cs="Times New Roman"/>
          <w:sz w:val="22"/>
        </w:rPr>
        <w:footnoteReference w:id="5"/>
      </w:r>
      <w:r w:rsidR="005632DC" w:rsidRPr="002C7CD3">
        <w:rPr>
          <w:rFonts w:cs="Times New Roman"/>
          <w:sz w:val="22"/>
        </w:rPr>
        <w:t xml:space="preserve"> Bloomberg New Energy Finance (BNEF),</w:t>
      </w:r>
      <w:r w:rsidR="005632DC" w:rsidRPr="002C7CD3">
        <w:rPr>
          <w:rStyle w:val="FootnoteReference"/>
          <w:rFonts w:cs="Times New Roman"/>
          <w:sz w:val="22"/>
        </w:rPr>
        <w:footnoteReference w:id="6"/>
      </w:r>
      <w:r w:rsidR="005632DC" w:rsidRPr="002C7CD3">
        <w:rPr>
          <w:rFonts w:cs="Times New Roman"/>
          <w:sz w:val="22"/>
        </w:rPr>
        <w:t xml:space="preserve"> and an SUV Analogue case. For buses and trucks, there are only two distinct scenarios: IEA NPS and BNEF. For purposes of calculating totals, the SUV Analogue scenario assumes the BNEF scenario for buses and trucks.</w:t>
      </w:r>
      <w:r w:rsidR="005632DC" w:rsidRPr="002C7CD3">
        <w:rPr>
          <w:rStyle w:val="FootnoteReference"/>
          <w:rFonts w:cs="Times New Roman"/>
          <w:sz w:val="22"/>
        </w:rPr>
        <w:footnoteReference w:id="7"/>
      </w:r>
    </w:p>
    <w:p w14:paraId="7E7023A5" w14:textId="77AD938A" w:rsidR="005632DC" w:rsidRPr="002C7CD3" w:rsidRDefault="005632DC" w:rsidP="000B5BFC">
      <w:pPr>
        <w:spacing w:line="360" w:lineRule="auto"/>
        <w:jc w:val="center"/>
        <w:rPr>
          <w:sz w:val="22"/>
        </w:rPr>
      </w:pPr>
      <w:r w:rsidRPr="002C7CD3">
        <w:rPr>
          <w:noProof/>
          <w:sz w:val="22"/>
        </w:rPr>
        <w:drawing>
          <wp:inline distT="0" distB="0" distL="0" distR="0" wp14:anchorId="706B71B2" wp14:editId="7D4FC10A">
            <wp:extent cx="4692650" cy="102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92650" cy="1022350"/>
                    </a:xfrm>
                    <a:prstGeom prst="rect">
                      <a:avLst/>
                    </a:prstGeom>
                    <a:noFill/>
                    <a:ln>
                      <a:noFill/>
                    </a:ln>
                  </pic:spPr>
                </pic:pic>
              </a:graphicData>
            </a:graphic>
          </wp:inline>
        </w:drawing>
      </w:r>
    </w:p>
    <w:p w14:paraId="2F145E0A" w14:textId="77777777" w:rsidR="005632DC" w:rsidRPr="002C7CD3" w:rsidRDefault="005632DC" w:rsidP="000B5BFC">
      <w:pPr>
        <w:spacing w:line="360" w:lineRule="auto"/>
        <w:jc w:val="both"/>
        <w:rPr>
          <w:rFonts w:cs="Times New Roman"/>
          <w:sz w:val="22"/>
        </w:rPr>
      </w:pPr>
      <w:r w:rsidRPr="002C7CD3">
        <w:rPr>
          <w:rFonts w:cs="Times New Roman"/>
          <w:sz w:val="22"/>
        </w:rPr>
        <w:t>Electric vehicle deployment projections are derived from Texas population projections, Texas resident driving and car buying behaviors, and national market share of sales forecasts.</w:t>
      </w:r>
    </w:p>
    <w:p w14:paraId="62F68FF6" w14:textId="07239400" w:rsidR="003A1205" w:rsidRPr="002C7CD3" w:rsidRDefault="009C15C8" w:rsidP="000B5BFC">
      <w:pPr>
        <w:spacing w:line="360" w:lineRule="auto"/>
        <w:rPr>
          <w:b/>
          <w:bCs/>
          <w:sz w:val="22"/>
        </w:rPr>
      </w:pPr>
      <w:r w:rsidRPr="002C7CD3">
        <w:rPr>
          <w:b/>
          <w:bCs/>
          <w:sz w:val="22"/>
        </w:rPr>
        <w:t>1.</w:t>
      </w:r>
      <w:r w:rsidRPr="002C7CD3">
        <w:rPr>
          <w:b/>
          <w:bCs/>
          <w:sz w:val="22"/>
        </w:rPr>
        <w:tab/>
      </w:r>
      <w:r w:rsidR="005632DC" w:rsidRPr="002C7CD3">
        <w:rPr>
          <w:b/>
          <w:bCs/>
          <w:sz w:val="22"/>
        </w:rPr>
        <w:t>Population and Fleet Growth</w:t>
      </w:r>
    </w:p>
    <w:p w14:paraId="3B686B18" w14:textId="076F9E2F" w:rsidR="005632DC" w:rsidRPr="002C7CD3" w:rsidRDefault="005632DC" w:rsidP="000B5BFC">
      <w:pPr>
        <w:spacing w:line="360" w:lineRule="auto"/>
        <w:jc w:val="both"/>
        <w:rPr>
          <w:rFonts w:eastAsiaTheme="minorEastAsia" w:cs="Times New Roman"/>
          <w:sz w:val="22"/>
        </w:rPr>
      </w:pPr>
      <w:r w:rsidRPr="002C7CD3">
        <w:rPr>
          <w:rFonts w:eastAsiaTheme="minorEastAsia" w:cs="Times New Roman"/>
          <w:sz w:val="22"/>
        </w:rPr>
        <w:t>In 2017, the latest year for which combined data are available from both the Federal Highway Administration and the Texas Demographics Center, there were 28,525,596 residents and 20,846,859 registered vehicles in the State of Texas. Most of these vehicles were light duty vehicles (cars, pickups, SUVs, and vans) at a ratio of 0.721 registrations per capita. Bus and truck registrations per capita were 0.002 and 0.008, respectively.</w:t>
      </w:r>
      <w:r w:rsidRPr="002C7CD3">
        <w:rPr>
          <w:rFonts w:eastAsiaTheme="minorEastAsia"/>
          <w:sz w:val="22"/>
          <w:vertAlign w:val="superscript"/>
        </w:rPr>
        <w:footnoteReference w:id="8"/>
      </w:r>
    </w:p>
    <w:p w14:paraId="2FE139CF" w14:textId="77777777" w:rsidR="005632DC" w:rsidRPr="002C7CD3" w:rsidRDefault="005632DC" w:rsidP="000B5BFC">
      <w:pPr>
        <w:spacing w:line="360" w:lineRule="auto"/>
        <w:jc w:val="center"/>
        <w:rPr>
          <w:sz w:val="22"/>
        </w:rPr>
      </w:pPr>
      <w:r w:rsidRPr="002C7CD3">
        <w:rPr>
          <w:sz w:val="22"/>
        </w:rPr>
        <w:lastRenderedPageBreak/>
        <w:br/>
      </w:r>
      <w:r w:rsidRPr="002C7CD3">
        <w:rPr>
          <w:noProof/>
          <w:sz w:val="22"/>
        </w:rPr>
        <w:drawing>
          <wp:inline distT="0" distB="0" distL="0" distR="0" wp14:anchorId="625595E3" wp14:editId="08641C28">
            <wp:extent cx="4654550" cy="1022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54550" cy="1022350"/>
                    </a:xfrm>
                    <a:prstGeom prst="rect">
                      <a:avLst/>
                    </a:prstGeom>
                    <a:noFill/>
                    <a:ln>
                      <a:noFill/>
                    </a:ln>
                  </pic:spPr>
                </pic:pic>
              </a:graphicData>
            </a:graphic>
          </wp:inline>
        </w:drawing>
      </w:r>
    </w:p>
    <w:p w14:paraId="6E73759D" w14:textId="47756D4F" w:rsidR="005632DC" w:rsidRPr="002C7CD3" w:rsidRDefault="005632DC" w:rsidP="000B5BFC">
      <w:pPr>
        <w:spacing w:line="360" w:lineRule="auto"/>
        <w:jc w:val="both"/>
        <w:rPr>
          <w:rFonts w:eastAsiaTheme="minorEastAsia" w:cs="Times New Roman"/>
          <w:sz w:val="22"/>
        </w:rPr>
      </w:pPr>
      <w:r w:rsidRPr="002C7CD3">
        <w:rPr>
          <w:rFonts w:eastAsiaTheme="minorEastAsia" w:cs="Times New Roman"/>
          <w:sz w:val="22"/>
        </w:rPr>
        <w:t xml:space="preserve">The Texas Demographics Center projects that the 2020 resident population will reach 29,677,772, and the 2030 resident population of Texas will reach 34,894,429. Assuming the registration ratios hold constant, this implies that the total size of the fleet will increase by an additional 3,812,396 vehicles between 2020 and 2030. How many of the vehicles in the 2030 fleet will be electrified is the subject of this </w:t>
      </w:r>
      <w:r w:rsidR="00106054">
        <w:rPr>
          <w:rFonts w:eastAsiaTheme="minorEastAsia" w:cs="Times New Roman"/>
          <w:sz w:val="22"/>
        </w:rPr>
        <w:t xml:space="preserve">  </w:t>
      </w:r>
      <w:r w:rsidRPr="002C7CD3">
        <w:rPr>
          <w:rFonts w:eastAsiaTheme="minorEastAsia" w:cs="Times New Roman"/>
          <w:sz w:val="22"/>
        </w:rPr>
        <w:t>analysis.</w:t>
      </w:r>
      <w:r w:rsidRPr="002C7CD3">
        <w:rPr>
          <w:rStyle w:val="FootnoteReference"/>
          <w:rFonts w:eastAsiaTheme="minorEastAsia" w:cs="Times New Roman"/>
          <w:sz w:val="22"/>
        </w:rPr>
        <w:footnoteReference w:id="9"/>
      </w:r>
      <w:r w:rsidRPr="002C7CD3">
        <w:rPr>
          <w:rFonts w:eastAsiaTheme="minorEastAsia" w:cs="Times New Roman"/>
          <w:sz w:val="22"/>
          <w:vertAlign w:val="superscript"/>
        </w:rPr>
        <w:t xml:space="preserve">, </w:t>
      </w:r>
      <w:r w:rsidRPr="002C7CD3">
        <w:rPr>
          <w:rStyle w:val="FootnoteReference"/>
          <w:rFonts w:eastAsiaTheme="minorEastAsia" w:cs="Times New Roman"/>
          <w:sz w:val="22"/>
        </w:rPr>
        <w:footnoteReference w:id="10"/>
      </w:r>
    </w:p>
    <w:p w14:paraId="5E7409CF" w14:textId="77777777" w:rsidR="005632DC" w:rsidRPr="002C7CD3" w:rsidRDefault="005632DC" w:rsidP="000B5BFC">
      <w:pPr>
        <w:spacing w:line="360" w:lineRule="auto"/>
        <w:jc w:val="center"/>
        <w:rPr>
          <w:rFonts w:eastAsiaTheme="minorEastAsia"/>
          <w:sz w:val="22"/>
        </w:rPr>
      </w:pPr>
      <w:r w:rsidRPr="002C7CD3">
        <w:rPr>
          <w:rFonts w:eastAsiaTheme="minorEastAsia"/>
          <w:sz w:val="22"/>
        </w:rPr>
        <w:br/>
      </w:r>
      <w:r w:rsidRPr="002C7CD3">
        <w:rPr>
          <w:noProof/>
          <w:sz w:val="22"/>
        </w:rPr>
        <w:drawing>
          <wp:inline distT="0" distB="0" distL="0" distR="0" wp14:anchorId="0398D339" wp14:editId="18EBD706">
            <wp:extent cx="4654550" cy="10223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54550" cy="1022350"/>
                    </a:xfrm>
                    <a:prstGeom prst="rect">
                      <a:avLst/>
                    </a:prstGeom>
                    <a:noFill/>
                    <a:ln>
                      <a:noFill/>
                    </a:ln>
                  </pic:spPr>
                </pic:pic>
              </a:graphicData>
            </a:graphic>
          </wp:inline>
        </w:drawing>
      </w:r>
    </w:p>
    <w:p w14:paraId="719E66DF" w14:textId="77777777" w:rsidR="00E962CE" w:rsidRPr="002C7CD3" w:rsidRDefault="009C15C8" w:rsidP="000B5BFC">
      <w:pPr>
        <w:spacing w:line="360" w:lineRule="auto"/>
        <w:rPr>
          <w:b/>
          <w:bCs/>
          <w:sz w:val="22"/>
        </w:rPr>
      </w:pPr>
      <w:r w:rsidRPr="002C7CD3">
        <w:rPr>
          <w:b/>
          <w:bCs/>
          <w:sz w:val="22"/>
        </w:rPr>
        <w:t>2.</w:t>
      </w:r>
      <w:r w:rsidRPr="002C7CD3">
        <w:rPr>
          <w:b/>
          <w:bCs/>
          <w:sz w:val="22"/>
        </w:rPr>
        <w:tab/>
      </w:r>
      <w:r w:rsidR="005632DC" w:rsidRPr="002C7CD3">
        <w:rPr>
          <w:b/>
          <w:bCs/>
          <w:sz w:val="22"/>
        </w:rPr>
        <w:t>Vehicle Churn</w:t>
      </w:r>
    </w:p>
    <w:p w14:paraId="24A93B1E" w14:textId="6406BD70" w:rsidR="005632DC" w:rsidRPr="002C7CD3" w:rsidRDefault="005632DC" w:rsidP="00106054">
      <w:pPr>
        <w:spacing w:line="360" w:lineRule="auto"/>
        <w:jc w:val="both"/>
        <w:rPr>
          <w:b/>
          <w:bCs/>
          <w:sz w:val="22"/>
        </w:rPr>
      </w:pPr>
      <w:r w:rsidRPr="002C7CD3">
        <w:rPr>
          <w:rFonts w:eastAsiaTheme="minorEastAsia" w:cs="Times New Roman"/>
          <w:sz w:val="22"/>
        </w:rPr>
        <w:t>Although only 3,812,396 vehicles will be added to the total size of the Texas fleet, the total number of vehicles cycling through the same fleet is much higher, due to replacement of existing vehicles. Altogether there will be 13,779,666 new registrations and 9,683,455 deregistrations.</w:t>
      </w:r>
      <w:r w:rsidRPr="00106054">
        <w:rPr>
          <w:rFonts w:cs="Times New Roman"/>
          <w:sz w:val="22"/>
          <w:vertAlign w:val="superscript"/>
        </w:rPr>
        <w:footnoteReference w:id="11"/>
      </w:r>
    </w:p>
    <w:p w14:paraId="0B4DBD7A" w14:textId="3ED53D65" w:rsidR="005632DC" w:rsidRPr="002C7CD3" w:rsidRDefault="005632DC" w:rsidP="00106054">
      <w:pPr>
        <w:spacing w:line="360" w:lineRule="auto"/>
        <w:jc w:val="both"/>
        <w:rPr>
          <w:rFonts w:eastAsiaTheme="minorEastAsia" w:cs="Times New Roman"/>
          <w:sz w:val="22"/>
        </w:rPr>
      </w:pPr>
      <w:r w:rsidRPr="002C7CD3">
        <w:rPr>
          <w:rFonts w:eastAsiaTheme="minorEastAsia" w:cs="Times New Roman"/>
          <w:sz w:val="22"/>
        </w:rPr>
        <w:t>Projections for new registrations of light duty vehicles are based on Auto Alliance new car sales data, with new car sales as a proxy for new registrations. In 2018 there were 1,515,438 light duty auto sales in Texas when the average population was 28,702,243, implying a ratio of residents to light duty vehicle sales at 0.053.</w:t>
      </w:r>
      <w:r w:rsidRPr="002C7CD3">
        <w:rPr>
          <w:rFonts w:cs="Times New Roman"/>
          <w:sz w:val="22"/>
        </w:rPr>
        <w:footnoteReference w:id="12"/>
      </w:r>
      <w:r w:rsidRPr="002C7CD3">
        <w:rPr>
          <w:rFonts w:eastAsiaTheme="minorEastAsia" w:cs="Times New Roman"/>
          <w:sz w:val="22"/>
        </w:rPr>
        <w:t xml:space="preserve"> Deregistrations of light duty vehicles are derived as the difference between projected new car sales and fleet additions.</w:t>
      </w:r>
    </w:p>
    <w:p w14:paraId="406AA10D" w14:textId="024CE742" w:rsidR="009D7738" w:rsidRPr="002C7CD3" w:rsidRDefault="005632DC" w:rsidP="00106054">
      <w:pPr>
        <w:spacing w:line="360" w:lineRule="auto"/>
        <w:jc w:val="both"/>
        <w:rPr>
          <w:rFonts w:eastAsiaTheme="minorEastAsia" w:cs="Times New Roman"/>
          <w:sz w:val="22"/>
        </w:rPr>
      </w:pPr>
      <w:r w:rsidRPr="002C7CD3">
        <w:rPr>
          <w:rFonts w:eastAsiaTheme="minorEastAsia" w:cs="Times New Roman"/>
          <w:sz w:val="22"/>
        </w:rPr>
        <w:t xml:space="preserve">Projections for bus sales are based on a Federal Transit Administration estimate of a 15.1 year typical age of retirement for a bus. New bus sales are derived as the difference between projected </w:t>
      </w:r>
      <w:r w:rsidRPr="002C7CD3">
        <w:rPr>
          <w:rFonts w:eastAsiaTheme="minorEastAsia" w:cs="Times New Roman"/>
          <w:sz w:val="22"/>
        </w:rPr>
        <w:lastRenderedPageBreak/>
        <w:t>deregistrations and fleet additions.</w:t>
      </w:r>
      <w:r w:rsidRPr="002C7CD3">
        <w:rPr>
          <w:rFonts w:cs="Times New Roman"/>
          <w:sz w:val="22"/>
        </w:rPr>
        <w:footnoteReference w:id="13"/>
      </w:r>
      <w:r w:rsidRPr="002C7CD3">
        <w:rPr>
          <w:rFonts w:eastAsiaTheme="minorEastAsia" w:cs="Times New Roman"/>
          <w:sz w:val="22"/>
        </w:rPr>
        <w:t xml:space="preserve"> </w:t>
      </w:r>
      <w:r w:rsidR="00BA6C84" w:rsidRPr="002C7CD3">
        <w:rPr>
          <w:rFonts w:eastAsiaTheme="minorEastAsia" w:cs="Times New Roman"/>
          <w:sz w:val="22"/>
        </w:rPr>
        <w:t>Due to a lack of specific data, truck deregistrations and new sales were modeled using the same age of retirement as used for bus modeling.</w:t>
      </w:r>
    </w:p>
    <w:p w14:paraId="55B13E3F" w14:textId="77777777" w:rsidR="009D7738" w:rsidRPr="002C7CD3" w:rsidRDefault="009D7738" w:rsidP="000B5BFC">
      <w:pPr>
        <w:spacing w:line="360" w:lineRule="auto"/>
        <w:jc w:val="both"/>
        <w:rPr>
          <w:rFonts w:eastAsiaTheme="minorEastAsia"/>
          <w:sz w:val="22"/>
        </w:rPr>
      </w:pPr>
    </w:p>
    <w:p w14:paraId="0BADDE84" w14:textId="77777777" w:rsidR="009D7738" w:rsidRPr="002C7CD3" w:rsidRDefault="009D7738" w:rsidP="000B5BFC">
      <w:pPr>
        <w:spacing w:line="360" w:lineRule="auto"/>
        <w:rPr>
          <w:rFonts w:eastAsiaTheme="minorEastAsia"/>
          <w:sz w:val="22"/>
        </w:rPr>
      </w:pPr>
      <w:r w:rsidRPr="002C7CD3">
        <w:rPr>
          <w:noProof/>
          <w:sz w:val="22"/>
        </w:rPr>
        <w:drawing>
          <wp:inline distT="0" distB="0" distL="0" distR="0" wp14:anchorId="2AA4C631" wp14:editId="0E540472">
            <wp:extent cx="4654550" cy="857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54550" cy="857250"/>
                    </a:xfrm>
                    <a:prstGeom prst="rect">
                      <a:avLst/>
                    </a:prstGeom>
                    <a:noFill/>
                    <a:ln>
                      <a:noFill/>
                    </a:ln>
                  </pic:spPr>
                </pic:pic>
              </a:graphicData>
            </a:graphic>
          </wp:inline>
        </w:drawing>
      </w:r>
    </w:p>
    <w:p w14:paraId="283E2973" w14:textId="77777777" w:rsidR="00BA6C84" w:rsidRPr="002C7CD3" w:rsidRDefault="009D7738" w:rsidP="000B5BFC">
      <w:pPr>
        <w:spacing w:line="360" w:lineRule="auto"/>
        <w:rPr>
          <w:rFonts w:eastAsiaTheme="minorEastAsia"/>
          <w:sz w:val="22"/>
        </w:rPr>
      </w:pPr>
      <w:r w:rsidRPr="002C7CD3">
        <w:rPr>
          <w:noProof/>
          <w:sz w:val="22"/>
        </w:rPr>
        <w:drawing>
          <wp:inline distT="0" distB="0" distL="0" distR="0" wp14:anchorId="483B3732" wp14:editId="22C15255">
            <wp:extent cx="4654550" cy="857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54550" cy="857250"/>
                    </a:xfrm>
                    <a:prstGeom prst="rect">
                      <a:avLst/>
                    </a:prstGeom>
                    <a:noFill/>
                    <a:ln>
                      <a:noFill/>
                    </a:ln>
                  </pic:spPr>
                </pic:pic>
              </a:graphicData>
            </a:graphic>
          </wp:inline>
        </w:drawing>
      </w:r>
    </w:p>
    <w:p w14:paraId="0CCF6EA4" w14:textId="77777777" w:rsidR="005C50EC" w:rsidRPr="002C7CD3" w:rsidRDefault="009C15C8" w:rsidP="000B5BFC">
      <w:pPr>
        <w:spacing w:line="360" w:lineRule="auto"/>
        <w:rPr>
          <w:b/>
          <w:bCs/>
          <w:sz w:val="22"/>
        </w:rPr>
      </w:pPr>
      <w:r w:rsidRPr="002C7CD3">
        <w:rPr>
          <w:b/>
          <w:bCs/>
          <w:sz w:val="22"/>
        </w:rPr>
        <w:t xml:space="preserve">3. </w:t>
      </w:r>
      <w:r w:rsidRPr="002C7CD3">
        <w:rPr>
          <w:b/>
          <w:bCs/>
          <w:sz w:val="22"/>
        </w:rPr>
        <w:tab/>
      </w:r>
      <w:r w:rsidR="009D7738" w:rsidRPr="002C7CD3">
        <w:rPr>
          <w:b/>
          <w:bCs/>
          <w:sz w:val="22"/>
        </w:rPr>
        <w:t>Market Share</w:t>
      </w:r>
    </w:p>
    <w:p w14:paraId="31F56624" w14:textId="0CD441ED" w:rsidR="00CA3B01" w:rsidRPr="002C7CD3" w:rsidRDefault="009D7738" w:rsidP="00106054">
      <w:pPr>
        <w:spacing w:line="360" w:lineRule="auto"/>
        <w:jc w:val="both"/>
        <w:rPr>
          <w:b/>
          <w:bCs/>
          <w:sz w:val="22"/>
        </w:rPr>
      </w:pPr>
      <w:r w:rsidRPr="002C7CD3">
        <w:rPr>
          <w:rFonts w:eastAsiaTheme="minorEastAsia" w:cs="Times New Roman"/>
          <w:sz w:val="22"/>
        </w:rPr>
        <w:t>Projections for the future market share of sales were based on three scenarios</w:t>
      </w:r>
      <w:r w:rsidR="008555AB" w:rsidRPr="002C7CD3">
        <w:rPr>
          <w:rFonts w:eastAsiaTheme="minorEastAsia" w:cs="Times New Roman"/>
          <w:sz w:val="22"/>
        </w:rPr>
        <w:t xml:space="preserve"> as described above</w:t>
      </w:r>
      <w:r w:rsidRPr="002C7CD3">
        <w:rPr>
          <w:rFonts w:eastAsiaTheme="minorEastAsia" w:cs="Times New Roman"/>
          <w:sz w:val="22"/>
        </w:rPr>
        <w:t xml:space="preserve">. </w:t>
      </w:r>
      <w:r w:rsidR="007B2B38" w:rsidRPr="002C7CD3">
        <w:rPr>
          <w:rFonts w:eastAsiaTheme="minorEastAsia" w:cs="Times New Roman"/>
          <w:sz w:val="22"/>
        </w:rPr>
        <w:t xml:space="preserve">Sources for these projections were selected </w:t>
      </w:r>
      <w:r w:rsidR="0041611D" w:rsidRPr="002C7CD3">
        <w:rPr>
          <w:rFonts w:eastAsiaTheme="minorEastAsia" w:cs="Times New Roman"/>
          <w:sz w:val="22"/>
        </w:rPr>
        <w:t>based on their widespread acceptance, broad treatment of vehicle classes, and availability within the public domain.</w:t>
      </w:r>
    </w:p>
    <w:p w14:paraId="7BCB448A" w14:textId="5FC899B9" w:rsidR="006B234B" w:rsidRPr="002C7CD3" w:rsidRDefault="006B234B" w:rsidP="00106054">
      <w:pPr>
        <w:spacing w:line="360" w:lineRule="auto"/>
        <w:jc w:val="both"/>
        <w:rPr>
          <w:rFonts w:eastAsiaTheme="minorEastAsia" w:cs="Times New Roman"/>
          <w:sz w:val="22"/>
        </w:rPr>
      </w:pPr>
      <w:r w:rsidRPr="002C7CD3">
        <w:rPr>
          <w:rFonts w:eastAsiaTheme="minorEastAsia" w:cs="Times New Roman"/>
          <w:sz w:val="22"/>
        </w:rPr>
        <w:t xml:space="preserve">Scenario 1: The </w:t>
      </w:r>
      <w:r w:rsidR="006B0CD2" w:rsidRPr="002C7CD3">
        <w:rPr>
          <w:rFonts w:eastAsiaTheme="minorEastAsia" w:cs="Times New Roman"/>
          <w:sz w:val="22"/>
        </w:rPr>
        <w:t>IEA NPS</w:t>
      </w:r>
      <w:r w:rsidRPr="002C7CD3">
        <w:rPr>
          <w:rFonts w:eastAsiaTheme="minorEastAsia" w:cs="Times New Roman"/>
          <w:sz w:val="22"/>
        </w:rPr>
        <w:t xml:space="preserve"> </w:t>
      </w:r>
      <w:r w:rsidR="002F56EC" w:rsidRPr="002C7CD3">
        <w:rPr>
          <w:rFonts w:eastAsiaTheme="minorEastAsia" w:cs="Times New Roman"/>
          <w:sz w:val="22"/>
        </w:rPr>
        <w:t xml:space="preserve">is the </w:t>
      </w:r>
      <w:r w:rsidR="005632DC" w:rsidRPr="002C7CD3">
        <w:rPr>
          <w:rFonts w:eastAsiaTheme="minorEastAsia" w:cs="Times New Roman"/>
          <w:sz w:val="22"/>
        </w:rPr>
        <w:t xml:space="preserve">baseline </w:t>
      </w:r>
      <w:r w:rsidR="00EA0E22" w:rsidRPr="002C7CD3">
        <w:rPr>
          <w:rFonts w:eastAsiaTheme="minorEastAsia" w:cs="Times New Roman"/>
          <w:sz w:val="22"/>
        </w:rPr>
        <w:t xml:space="preserve">United States </w:t>
      </w:r>
      <w:r w:rsidR="002F56EC" w:rsidRPr="002C7CD3">
        <w:rPr>
          <w:rFonts w:eastAsiaTheme="minorEastAsia" w:cs="Times New Roman"/>
          <w:sz w:val="22"/>
        </w:rPr>
        <w:t xml:space="preserve">scenario of the IEA World Energy Outlook. The scenario incorporates the policies and measures that governments around the world have already put in place, as well as the likely effects of announced </w:t>
      </w:r>
      <w:r w:rsidR="00AF375D" w:rsidRPr="002C7CD3">
        <w:rPr>
          <w:rFonts w:eastAsiaTheme="minorEastAsia" w:cs="Times New Roman"/>
          <w:sz w:val="22"/>
        </w:rPr>
        <w:t xml:space="preserve">policies </w:t>
      </w:r>
      <w:r w:rsidR="002F56EC" w:rsidRPr="002C7CD3">
        <w:rPr>
          <w:rFonts w:eastAsiaTheme="minorEastAsia" w:cs="Times New Roman"/>
          <w:sz w:val="22"/>
        </w:rPr>
        <w:t>that are expressed in official targets or plans.</w:t>
      </w:r>
    </w:p>
    <w:p w14:paraId="40115872" w14:textId="63466C9A" w:rsidR="006B234B" w:rsidRPr="002C7CD3" w:rsidRDefault="006B234B" w:rsidP="00106054">
      <w:pPr>
        <w:spacing w:line="360" w:lineRule="auto"/>
        <w:jc w:val="both"/>
        <w:rPr>
          <w:rFonts w:eastAsiaTheme="minorEastAsia" w:cs="Times New Roman"/>
          <w:sz w:val="22"/>
        </w:rPr>
      </w:pPr>
      <w:r w:rsidRPr="002C7CD3">
        <w:rPr>
          <w:rFonts w:eastAsiaTheme="minorEastAsia" w:cs="Times New Roman"/>
          <w:sz w:val="22"/>
        </w:rPr>
        <w:t xml:space="preserve">Scenario 2: The </w:t>
      </w:r>
      <w:r w:rsidR="006B0CD2" w:rsidRPr="002C7CD3">
        <w:rPr>
          <w:rFonts w:eastAsiaTheme="minorEastAsia" w:cs="Times New Roman"/>
          <w:sz w:val="22"/>
        </w:rPr>
        <w:t>BNEF</w:t>
      </w:r>
      <w:r w:rsidRPr="002C7CD3">
        <w:rPr>
          <w:rFonts w:eastAsiaTheme="minorEastAsia" w:cs="Times New Roman"/>
          <w:sz w:val="22"/>
        </w:rPr>
        <w:t xml:space="preserve"> scenario is </w:t>
      </w:r>
      <w:r w:rsidR="006B0CD2" w:rsidRPr="002C7CD3">
        <w:rPr>
          <w:rFonts w:eastAsiaTheme="minorEastAsia" w:cs="Times New Roman"/>
          <w:sz w:val="22"/>
        </w:rPr>
        <w:t xml:space="preserve">extrapolated from </w:t>
      </w:r>
      <w:r w:rsidR="00EA4E99" w:rsidRPr="002C7CD3">
        <w:rPr>
          <w:rFonts w:eastAsiaTheme="minorEastAsia" w:cs="Times New Roman"/>
          <w:sz w:val="22"/>
        </w:rPr>
        <w:t>BNEF’s</w:t>
      </w:r>
      <w:r w:rsidR="00360B3D" w:rsidRPr="002C7CD3">
        <w:rPr>
          <w:rFonts w:eastAsiaTheme="minorEastAsia" w:cs="Times New Roman"/>
          <w:sz w:val="22"/>
        </w:rPr>
        <w:t xml:space="preserve"> 2019</w:t>
      </w:r>
      <w:r w:rsidR="00EA4E99" w:rsidRPr="002C7CD3">
        <w:rPr>
          <w:rFonts w:eastAsiaTheme="minorEastAsia" w:cs="Times New Roman"/>
          <w:sz w:val="22"/>
        </w:rPr>
        <w:t xml:space="preserve"> </w:t>
      </w:r>
      <w:r w:rsidR="00360B3D" w:rsidRPr="002C7CD3">
        <w:rPr>
          <w:rFonts w:eastAsiaTheme="minorEastAsia" w:cs="Times New Roman"/>
          <w:sz w:val="22"/>
        </w:rPr>
        <w:t>EV Outlook</w:t>
      </w:r>
      <w:r w:rsidR="00126C71" w:rsidRPr="002C7CD3">
        <w:rPr>
          <w:rFonts w:eastAsiaTheme="minorEastAsia" w:cs="Times New Roman"/>
          <w:sz w:val="22"/>
        </w:rPr>
        <w:t xml:space="preserve"> for United States EV adoption. </w:t>
      </w:r>
      <w:r w:rsidR="003F3F56" w:rsidRPr="002C7CD3">
        <w:rPr>
          <w:rFonts w:eastAsiaTheme="minorEastAsia" w:cs="Times New Roman"/>
          <w:sz w:val="22"/>
        </w:rPr>
        <w:t xml:space="preserve">Although </w:t>
      </w:r>
      <w:r w:rsidR="000641E0" w:rsidRPr="002C7CD3">
        <w:rPr>
          <w:rFonts w:eastAsiaTheme="minorEastAsia" w:cs="Times New Roman"/>
          <w:sz w:val="22"/>
        </w:rPr>
        <w:t xml:space="preserve">new vehicles sales in </w:t>
      </w:r>
      <w:r w:rsidR="003F3F56" w:rsidRPr="002C7CD3">
        <w:rPr>
          <w:rFonts w:eastAsiaTheme="minorEastAsia" w:cs="Times New Roman"/>
          <w:sz w:val="22"/>
        </w:rPr>
        <w:t>this scenario grow to the BNEF 2030</w:t>
      </w:r>
      <w:r w:rsidR="00AC64F6" w:rsidRPr="002C7CD3">
        <w:rPr>
          <w:rFonts w:eastAsiaTheme="minorEastAsia" w:cs="Times New Roman"/>
          <w:sz w:val="22"/>
        </w:rPr>
        <w:t xml:space="preserve"> adoption target, the</w:t>
      </w:r>
      <w:r w:rsidR="00C26156" w:rsidRPr="002C7CD3">
        <w:rPr>
          <w:rFonts w:eastAsiaTheme="minorEastAsia" w:cs="Times New Roman"/>
          <w:sz w:val="22"/>
        </w:rPr>
        <w:t xml:space="preserve"> scenario </w:t>
      </w:r>
      <w:r w:rsidR="003F3F56" w:rsidRPr="002C7CD3">
        <w:rPr>
          <w:rFonts w:eastAsiaTheme="minorEastAsia" w:cs="Times New Roman"/>
          <w:sz w:val="22"/>
        </w:rPr>
        <w:t>has</w:t>
      </w:r>
      <w:r w:rsidR="00C26156" w:rsidRPr="002C7CD3">
        <w:rPr>
          <w:rFonts w:eastAsiaTheme="minorEastAsia" w:cs="Times New Roman"/>
          <w:sz w:val="22"/>
        </w:rPr>
        <w:t xml:space="preserve"> been modified </w:t>
      </w:r>
      <w:r w:rsidR="00B31124" w:rsidRPr="002C7CD3">
        <w:rPr>
          <w:rFonts w:eastAsiaTheme="minorEastAsia" w:cs="Times New Roman"/>
          <w:sz w:val="22"/>
        </w:rPr>
        <w:t xml:space="preserve">to allow growth </w:t>
      </w:r>
      <w:r w:rsidR="00BE36A9" w:rsidRPr="002C7CD3">
        <w:rPr>
          <w:rFonts w:eastAsiaTheme="minorEastAsia" w:cs="Times New Roman"/>
          <w:sz w:val="22"/>
        </w:rPr>
        <w:t xml:space="preserve">to begin from </w:t>
      </w:r>
      <w:r w:rsidR="00536831" w:rsidRPr="002C7CD3">
        <w:rPr>
          <w:rFonts w:eastAsiaTheme="minorEastAsia" w:cs="Times New Roman"/>
          <w:sz w:val="22"/>
        </w:rPr>
        <w:t xml:space="preserve">Texas’ actual </w:t>
      </w:r>
      <w:r w:rsidR="00D040E2" w:rsidRPr="002C7CD3">
        <w:rPr>
          <w:rFonts w:eastAsiaTheme="minorEastAsia" w:cs="Times New Roman"/>
          <w:sz w:val="22"/>
        </w:rPr>
        <w:t>2020 base</w:t>
      </w:r>
      <w:r w:rsidR="00AA4801" w:rsidRPr="002C7CD3">
        <w:rPr>
          <w:rFonts w:eastAsiaTheme="minorEastAsia" w:cs="Times New Roman"/>
          <w:sz w:val="22"/>
        </w:rPr>
        <w:t xml:space="preserve"> rather than the current national</w:t>
      </w:r>
      <w:r w:rsidR="002C1BB6" w:rsidRPr="002C7CD3">
        <w:rPr>
          <w:rFonts w:eastAsiaTheme="minorEastAsia" w:cs="Times New Roman"/>
          <w:sz w:val="22"/>
        </w:rPr>
        <w:t xml:space="preserve"> average</w:t>
      </w:r>
      <w:r w:rsidR="003677B0" w:rsidRPr="002C7CD3">
        <w:rPr>
          <w:rFonts w:eastAsiaTheme="minorEastAsia" w:cs="Times New Roman"/>
          <w:sz w:val="22"/>
        </w:rPr>
        <w:t>.</w:t>
      </w:r>
      <w:r w:rsidR="00F82776" w:rsidRPr="002C7CD3">
        <w:rPr>
          <w:rFonts w:eastAsiaTheme="minorEastAsia" w:cs="Times New Roman"/>
          <w:sz w:val="22"/>
        </w:rPr>
        <w:t xml:space="preserve"> </w:t>
      </w:r>
    </w:p>
    <w:p w14:paraId="747AE00F" w14:textId="73737F26" w:rsidR="009D7738" w:rsidRPr="002C7CD3" w:rsidRDefault="006B234B" w:rsidP="00106054">
      <w:pPr>
        <w:spacing w:line="360" w:lineRule="auto"/>
        <w:jc w:val="both"/>
        <w:rPr>
          <w:rFonts w:eastAsiaTheme="minorEastAsia" w:cs="Times New Roman"/>
          <w:sz w:val="22"/>
        </w:rPr>
      </w:pPr>
      <w:r w:rsidRPr="002C7CD3">
        <w:rPr>
          <w:rFonts w:eastAsiaTheme="minorEastAsia" w:cs="Times New Roman"/>
          <w:sz w:val="22"/>
        </w:rPr>
        <w:t xml:space="preserve">Scenario 3: </w:t>
      </w:r>
      <w:r w:rsidR="00430920" w:rsidRPr="002C7CD3">
        <w:rPr>
          <w:rFonts w:eastAsiaTheme="minorEastAsia" w:cs="Times New Roman"/>
          <w:sz w:val="22"/>
        </w:rPr>
        <w:t>The SUV Analogue scenario considers that EVs are a lifestyle choice analogous to SUV</w:t>
      </w:r>
      <w:r w:rsidR="00822BEC" w:rsidRPr="002C7CD3">
        <w:rPr>
          <w:rFonts w:eastAsiaTheme="minorEastAsia" w:cs="Times New Roman"/>
          <w:sz w:val="22"/>
        </w:rPr>
        <w:t>s</w:t>
      </w:r>
      <w:r w:rsidR="00430920" w:rsidRPr="002C7CD3">
        <w:rPr>
          <w:rFonts w:eastAsiaTheme="minorEastAsia" w:cs="Times New Roman"/>
          <w:sz w:val="22"/>
        </w:rPr>
        <w:t xml:space="preserve">, </w:t>
      </w:r>
      <w:r w:rsidR="00846B88" w:rsidRPr="002C7CD3">
        <w:rPr>
          <w:rFonts w:eastAsiaTheme="minorEastAsia" w:cs="Times New Roman"/>
          <w:sz w:val="22"/>
        </w:rPr>
        <w:t xml:space="preserve">which </w:t>
      </w:r>
      <w:r w:rsidR="00A46C11" w:rsidRPr="002C7CD3">
        <w:rPr>
          <w:rFonts w:eastAsiaTheme="minorEastAsia" w:cs="Times New Roman"/>
          <w:sz w:val="22"/>
        </w:rPr>
        <w:t xml:space="preserve">have been the fastest growing light duty vehicle segment, </w:t>
      </w:r>
      <w:r w:rsidR="00846B88" w:rsidRPr="002C7CD3">
        <w:rPr>
          <w:rFonts w:eastAsiaTheme="minorEastAsia" w:cs="Times New Roman"/>
          <w:sz w:val="22"/>
        </w:rPr>
        <w:t>gr</w:t>
      </w:r>
      <w:r w:rsidR="00A46C11" w:rsidRPr="002C7CD3">
        <w:rPr>
          <w:rFonts w:eastAsiaTheme="minorEastAsia" w:cs="Times New Roman"/>
          <w:sz w:val="22"/>
        </w:rPr>
        <w:t>owing</w:t>
      </w:r>
      <w:r w:rsidR="00846B88" w:rsidRPr="002C7CD3">
        <w:rPr>
          <w:rFonts w:eastAsiaTheme="minorEastAsia" w:cs="Times New Roman"/>
          <w:sz w:val="22"/>
        </w:rPr>
        <w:t xml:space="preserve"> by </w:t>
      </w:r>
      <w:r w:rsidR="00FE5E24" w:rsidRPr="002C7CD3">
        <w:rPr>
          <w:rFonts w:eastAsiaTheme="minorEastAsia" w:cs="Times New Roman"/>
          <w:sz w:val="22"/>
        </w:rPr>
        <w:t xml:space="preserve">more than </w:t>
      </w:r>
      <w:r w:rsidR="00846B88" w:rsidRPr="002C7CD3">
        <w:rPr>
          <w:rFonts w:eastAsiaTheme="minorEastAsia" w:cs="Times New Roman"/>
          <w:sz w:val="22"/>
        </w:rPr>
        <w:t>3 million units</w:t>
      </w:r>
      <w:r w:rsidR="00FE5E24" w:rsidRPr="002C7CD3">
        <w:rPr>
          <w:rFonts w:eastAsiaTheme="minorEastAsia" w:cs="Times New Roman"/>
          <w:sz w:val="22"/>
        </w:rPr>
        <w:t xml:space="preserve">, within the total Texas fleet, </w:t>
      </w:r>
      <w:r w:rsidR="00846B88" w:rsidRPr="002C7CD3">
        <w:rPr>
          <w:rFonts w:eastAsiaTheme="minorEastAsia" w:cs="Times New Roman"/>
          <w:sz w:val="22"/>
        </w:rPr>
        <w:t xml:space="preserve">over the years 2007 to 2017. </w:t>
      </w:r>
      <w:r w:rsidR="0006283C" w:rsidRPr="002C7CD3">
        <w:rPr>
          <w:rFonts w:eastAsiaTheme="minorEastAsia" w:cs="Times New Roman"/>
          <w:sz w:val="22"/>
        </w:rPr>
        <w:t xml:space="preserve">This represents a growth from 18% of total Texas fleet in 2007 to 28% in 2017. </w:t>
      </w:r>
      <w:r w:rsidR="00846B88" w:rsidRPr="002C7CD3">
        <w:rPr>
          <w:rFonts w:eastAsiaTheme="minorEastAsia" w:cs="Times New Roman"/>
          <w:sz w:val="22"/>
        </w:rPr>
        <w:t>Th</w:t>
      </w:r>
      <w:r w:rsidR="00FE5E24" w:rsidRPr="002C7CD3">
        <w:rPr>
          <w:rFonts w:eastAsiaTheme="minorEastAsia" w:cs="Times New Roman"/>
          <w:sz w:val="22"/>
        </w:rPr>
        <w:t xml:space="preserve">is scenario </w:t>
      </w:r>
      <w:r w:rsidR="00425786" w:rsidRPr="002C7CD3">
        <w:rPr>
          <w:rFonts w:eastAsiaTheme="minorEastAsia" w:cs="Times New Roman"/>
          <w:sz w:val="22"/>
        </w:rPr>
        <w:t>assumes</w:t>
      </w:r>
      <w:r w:rsidR="00E72395" w:rsidRPr="002C7CD3">
        <w:rPr>
          <w:rFonts w:eastAsiaTheme="minorEastAsia" w:cs="Times New Roman"/>
          <w:sz w:val="22"/>
        </w:rPr>
        <w:t xml:space="preserve"> that EVs</w:t>
      </w:r>
      <w:r w:rsidR="00425786" w:rsidRPr="002C7CD3">
        <w:rPr>
          <w:rFonts w:eastAsiaTheme="minorEastAsia" w:cs="Times New Roman"/>
          <w:sz w:val="22"/>
        </w:rPr>
        <w:t>, driven by consumer preferences,</w:t>
      </w:r>
      <w:r w:rsidR="00E72395" w:rsidRPr="002C7CD3">
        <w:rPr>
          <w:rFonts w:eastAsiaTheme="minorEastAsia" w:cs="Times New Roman"/>
          <w:sz w:val="22"/>
        </w:rPr>
        <w:t xml:space="preserve"> </w:t>
      </w:r>
      <w:r w:rsidR="00952C18" w:rsidRPr="002C7CD3">
        <w:rPr>
          <w:rFonts w:eastAsiaTheme="minorEastAsia" w:cs="Times New Roman"/>
          <w:sz w:val="22"/>
        </w:rPr>
        <w:t>achieve a share of new car sales</w:t>
      </w:r>
      <w:r w:rsidR="00A467A2" w:rsidRPr="002C7CD3">
        <w:rPr>
          <w:rFonts w:eastAsiaTheme="minorEastAsia" w:cs="Times New Roman"/>
          <w:sz w:val="22"/>
        </w:rPr>
        <w:t xml:space="preserve"> comparable to that of SUVs by 2025</w:t>
      </w:r>
      <w:r w:rsidR="00CB2C15" w:rsidRPr="002C7CD3">
        <w:rPr>
          <w:rFonts w:eastAsiaTheme="minorEastAsia" w:cs="Times New Roman"/>
          <w:sz w:val="22"/>
        </w:rPr>
        <w:t>.</w:t>
      </w:r>
      <w:r w:rsidR="00DD7E5F">
        <w:rPr>
          <w:rFonts w:eastAsiaTheme="minorEastAsia" w:cs="Times New Roman"/>
          <w:sz w:val="22"/>
        </w:rPr>
        <w:t xml:space="preserve"> </w:t>
      </w:r>
      <w:r w:rsidR="005702B5">
        <w:rPr>
          <w:rFonts w:eastAsiaTheme="minorEastAsia" w:cs="Times New Roman"/>
          <w:sz w:val="22"/>
        </w:rPr>
        <w:t>This projection is made more plausible because i</w:t>
      </w:r>
      <w:r w:rsidR="00DD7E5F">
        <w:rPr>
          <w:rFonts w:eastAsiaTheme="minorEastAsia" w:cs="Times New Roman"/>
          <w:sz w:val="22"/>
        </w:rPr>
        <w:t>n the future</w:t>
      </w:r>
      <w:r w:rsidR="005702B5">
        <w:rPr>
          <w:rFonts w:eastAsiaTheme="minorEastAsia" w:cs="Times New Roman"/>
          <w:sz w:val="22"/>
        </w:rPr>
        <w:t xml:space="preserve">, </w:t>
      </w:r>
      <w:r w:rsidR="00DD7E5F">
        <w:rPr>
          <w:rFonts w:eastAsiaTheme="minorEastAsia" w:cs="Times New Roman"/>
          <w:sz w:val="22"/>
        </w:rPr>
        <w:t>SUV</w:t>
      </w:r>
      <w:r w:rsidR="00C27ACB">
        <w:rPr>
          <w:rFonts w:eastAsiaTheme="minorEastAsia" w:cs="Times New Roman"/>
          <w:sz w:val="22"/>
        </w:rPr>
        <w:t>-</w:t>
      </w:r>
      <w:r w:rsidR="00DD7E5F">
        <w:rPr>
          <w:rFonts w:eastAsiaTheme="minorEastAsia" w:cs="Times New Roman"/>
          <w:sz w:val="22"/>
        </w:rPr>
        <w:t>styled vehicles will become a large</w:t>
      </w:r>
      <w:r w:rsidR="005702B5">
        <w:rPr>
          <w:rFonts w:eastAsiaTheme="minorEastAsia" w:cs="Times New Roman"/>
          <w:sz w:val="22"/>
        </w:rPr>
        <w:t xml:space="preserve">r share </w:t>
      </w:r>
      <w:r w:rsidR="00DD7E5F">
        <w:rPr>
          <w:rFonts w:eastAsiaTheme="minorEastAsia" w:cs="Times New Roman"/>
          <w:sz w:val="22"/>
        </w:rPr>
        <w:t xml:space="preserve">of the EV offerings. </w:t>
      </w:r>
    </w:p>
    <w:p w14:paraId="16FBB9CE" w14:textId="3AF84995" w:rsidR="0085454E" w:rsidRPr="002C7CD3" w:rsidRDefault="009C15C8" w:rsidP="000B5BFC">
      <w:pPr>
        <w:pStyle w:val="Heading2"/>
        <w:spacing w:line="360" w:lineRule="auto"/>
        <w:ind w:firstLine="720"/>
        <w:rPr>
          <w:rFonts w:eastAsiaTheme="minorEastAsia" w:cs="Times New Roman"/>
          <w:bCs/>
          <w:sz w:val="22"/>
          <w:szCs w:val="22"/>
        </w:rPr>
      </w:pPr>
      <w:r w:rsidRPr="002C7CD3">
        <w:rPr>
          <w:rFonts w:eastAsiaTheme="minorEastAsia" w:cs="Times New Roman"/>
          <w:bCs/>
          <w:sz w:val="22"/>
          <w:szCs w:val="22"/>
        </w:rPr>
        <w:t>4.</w:t>
      </w:r>
      <w:r w:rsidRPr="002C7CD3">
        <w:rPr>
          <w:rFonts w:eastAsiaTheme="minorEastAsia" w:cs="Times New Roman"/>
          <w:bCs/>
          <w:sz w:val="22"/>
          <w:szCs w:val="22"/>
        </w:rPr>
        <w:tab/>
      </w:r>
      <w:r w:rsidR="008A48B7" w:rsidRPr="002C7CD3">
        <w:rPr>
          <w:rFonts w:eastAsiaTheme="minorEastAsia" w:cs="Times New Roman"/>
          <w:bCs/>
          <w:sz w:val="22"/>
          <w:szCs w:val="22"/>
        </w:rPr>
        <w:t xml:space="preserve">Limitations of </w:t>
      </w:r>
      <w:r w:rsidR="0029646E" w:rsidRPr="002C7CD3">
        <w:rPr>
          <w:rFonts w:eastAsiaTheme="minorEastAsia" w:cs="Times New Roman"/>
          <w:bCs/>
          <w:sz w:val="22"/>
          <w:szCs w:val="22"/>
        </w:rPr>
        <w:t>these</w:t>
      </w:r>
      <w:r w:rsidR="008A48B7" w:rsidRPr="002C7CD3">
        <w:rPr>
          <w:rFonts w:eastAsiaTheme="minorEastAsia" w:cs="Times New Roman"/>
          <w:bCs/>
          <w:sz w:val="22"/>
          <w:szCs w:val="22"/>
        </w:rPr>
        <w:t xml:space="preserve"> </w:t>
      </w:r>
      <w:r w:rsidR="0082542F" w:rsidRPr="002C7CD3">
        <w:rPr>
          <w:rFonts w:eastAsiaTheme="minorEastAsia" w:cs="Times New Roman"/>
          <w:bCs/>
          <w:sz w:val="22"/>
          <w:szCs w:val="22"/>
        </w:rPr>
        <w:t>Projection</w:t>
      </w:r>
      <w:r w:rsidR="0029646E" w:rsidRPr="002C7CD3">
        <w:rPr>
          <w:rFonts w:eastAsiaTheme="minorEastAsia" w:cs="Times New Roman"/>
          <w:bCs/>
          <w:sz w:val="22"/>
          <w:szCs w:val="22"/>
        </w:rPr>
        <w:t>s</w:t>
      </w:r>
    </w:p>
    <w:p w14:paraId="28F286B4" w14:textId="6364396B" w:rsidR="008A48B7" w:rsidRPr="002C7CD3" w:rsidRDefault="008A48B7" w:rsidP="000B5BFC">
      <w:pPr>
        <w:spacing w:line="360" w:lineRule="auto"/>
        <w:jc w:val="both"/>
        <w:rPr>
          <w:rFonts w:eastAsiaTheme="minorEastAsia" w:cs="Times New Roman"/>
          <w:sz w:val="22"/>
        </w:rPr>
      </w:pPr>
      <w:r w:rsidRPr="002C7CD3">
        <w:rPr>
          <w:rFonts w:eastAsiaTheme="minorEastAsia" w:cs="Times New Roman"/>
          <w:sz w:val="22"/>
        </w:rPr>
        <w:t xml:space="preserve">As with any forecasting exercise, </w:t>
      </w:r>
      <w:r w:rsidR="00EC774A" w:rsidRPr="002C7CD3">
        <w:rPr>
          <w:rFonts w:eastAsiaTheme="minorEastAsia" w:cs="Times New Roman"/>
          <w:sz w:val="22"/>
        </w:rPr>
        <w:t>certain</w:t>
      </w:r>
      <w:r w:rsidRPr="002C7CD3">
        <w:rPr>
          <w:rFonts w:eastAsiaTheme="minorEastAsia" w:cs="Times New Roman"/>
          <w:sz w:val="22"/>
        </w:rPr>
        <w:t xml:space="preserve"> assumptions and simplifications were necessary to articulate a projection model.</w:t>
      </w:r>
    </w:p>
    <w:p w14:paraId="7B26668D" w14:textId="2DBE4438" w:rsidR="008A48B7" w:rsidRPr="002C7CD3" w:rsidRDefault="00EC774A" w:rsidP="000B5BFC">
      <w:pPr>
        <w:pStyle w:val="ListParagraph"/>
        <w:numPr>
          <w:ilvl w:val="0"/>
          <w:numId w:val="2"/>
        </w:numPr>
        <w:spacing w:line="360" w:lineRule="auto"/>
        <w:jc w:val="both"/>
        <w:rPr>
          <w:rFonts w:eastAsiaTheme="minorEastAsia" w:cs="Times New Roman"/>
          <w:sz w:val="22"/>
        </w:rPr>
      </w:pPr>
      <w:r w:rsidRPr="002C7CD3">
        <w:rPr>
          <w:rFonts w:eastAsiaTheme="minorEastAsia" w:cs="Times New Roman"/>
          <w:b/>
          <w:bCs/>
          <w:sz w:val="22"/>
        </w:rPr>
        <w:lastRenderedPageBreak/>
        <w:t>Vehicle Data:</w:t>
      </w:r>
      <w:r w:rsidRPr="002C7CD3">
        <w:rPr>
          <w:rFonts w:eastAsiaTheme="minorEastAsia" w:cs="Times New Roman"/>
          <w:sz w:val="22"/>
        </w:rPr>
        <w:t xml:space="preserve"> </w:t>
      </w:r>
      <w:r w:rsidR="008A48B7" w:rsidRPr="002C7CD3">
        <w:rPr>
          <w:rFonts w:eastAsiaTheme="minorEastAsia" w:cs="Times New Roman"/>
          <w:sz w:val="22"/>
        </w:rPr>
        <w:t xml:space="preserve">Detailed data on vehicle lifespan and new vehicle sales were sparse with respect to the bus and truck segments. Data valuable for informing these assumptions are likely available from </w:t>
      </w:r>
      <w:r w:rsidR="0006283C" w:rsidRPr="002C7CD3">
        <w:rPr>
          <w:rFonts w:eastAsiaTheme="minorEastAsia" w:cs="Times New Roman"/>
          <w:sz w:val="22"/>
        </w:rPr>
        <w:t>the Texas Department of Motor Vehicles</w:t>
      </w:r>
      <w:r w:rsidR="008A48B7" w:rsidRPr="002C7CD3">
        <w:rPr>
          <w:rFonts w:eastAsiaTheme="minorEastAsia" w:cs="Times New Roman"/>
          <w:sz w:val="22"/>
        </w:rPr>
        <w:t>, although request times for such data were too lengthy to be timely for this analysis.</w:t>
      </w:r>
    </w:p>
    <w:p w14:paraId="0B393426" w14:textId="6300C8AE" w:rsidR="008A48B7" w:rsidRPr="002C7CD3" w:rsidRDefault="00EC774A" w:rsidP="000B5BFC">
      <w:pPr>
        <w:pStyle w:val="ListParagraph"/>
        <w:numPr>
          <w:ilvl w:val="0"/>
          <w:numId w:val="2"/>
        </w:numPr>
        <w:spacing w:line="360" w:lineRule="auto"/>
        <w:jc w:val="both"/>
        <w:rPr>
          <w:rFonts w:eastAsiaTheme="minorEastAsia" w:cs="Times New Roman"/>
          <w:sz w:val="22"/>
        </w:rPr>
      </w:pPr>
      <w:r w:rsidRPr="002C7CD3">
        <w:rPr>
          <w:rFonts w:eastAsiaTheme="minorEastAsia" w:cs="Times New Roman"/>
          <w:b/>
          <w:bCs/>
          <w:sz w:val="22"/>
        </w:rPr>
        <w:t>Market Share Data:</w:t>
      </w:r>
      <w:r w:rsidRPr="002C7CD3">
        <w:rPr>
          <w:rFonts w:eastAsiaTheme="minorEastAsia" w:cs="Times New Roman"/>
          <w:sz w:val="22"/>
        </w:rPr>
        <w:t xml:space="preserve"> </w:t>
      </w:r>
      <w:r w:rsidR="008A48B7" w:rsidRPr="002C7CD3">
        <w:rPr>
          <w:rFonts w:eastAsiaTheme="minorEastAsia" w:cs="Times New Roman"/>
          <w:sz w:val="22"/>
        </w:rPr>
        <w:t xml:space="preserve">Market share projections from IEA rely on national projections as opposed to Texas projections. One might argue that Texas will tend to lag the nation in EV deployment, due to the lack of an overt policy push. </w:t>
      </w:r>
      <w:r w:rsidR="00914DE9" w:rsidRPr="00914DE9">
        <w:rPr>
          <w:rFonts w:eastAsiaTheme="minorEastAsia" w:cs="Times New Roman"/>
          <w:sz w:val="22"/>
        </w:rPr>
        <w:t>One might also argue that Texas will outpace the nation, given a highly urban and suburban population, a robust economy, and a best in class fund (the Texas Emissions Reduction Plan) to spur new technologies that can demonstrably improve air quality.</w:t>
      </w:r>
      <w:r w:rsidR="00914DE9">
        <w:rPr>
          <w:rFonts w:eastAsiaTheme="minorEastAsia" w:cs="Times New Roman"/>
          <w:sz w:val="22"/>
        </w:rPr>
        <w:t xml:space="preserve"> </w:t>
      </w:r>
      <w:r w:rsidR="00914DE9" w:rsidRPr="00914DE9">
        <w:rPr>
          <w:rFonts w:eastAsiaTheme="minorEastAsia" w:cs="Times New Roman"/>
          <w:sz w:val="22"/>
        </w:rPr>
        <w:t>Neither of these scenarios are certain so this analysis assumes Texas will gain market share at the national average rate.</w:t>
      </w:r>
      <w:r w:rsidRPr="002C7CD3">
        <w:rPr>
          <w:rFonts w:eastAsiaTheme="minorEastAsia" w:cs="Times New Roman"/>
          <w:sz w:val="22"/>
        </w:rPr>
        <w:t xml:space="preserve"> </w:t>
      </w:r>
    </w:p>
    <w:p w14:paraId="2C925246" w14:textId="77777777" w:rsidR="00EC774A" w:rsidRPr="002C7CD3" w:rsidRDefault="00EC774A" w:rsidP="000B5BFC">
      <w:pPr>
        <w:pStyle w:val="ListParagraph"/>
        <w:numPr>
          <w:ilvl w:val="0"/>
          <w:numId w:val="2"/>
        </w:numPr>
        <w:spacing w:line="360" w:lineRule="auto"/>
        <w:jc w:val="both"/>
        <w:rPr>
          <w:rFonts w:eastAsiaTheme="minorEastAsia" w:cs="Times New Roman"/>
          <w:sz w:val="22"/>
        </w:rPr>
      </w:pPr>
      <w:r w:rsidRPr="002C7CD3">
        <w:rPr>
          <w:rFonts w:eastAsiaTheme="minorEastAsia" w:cs="Times New Roman"/>
          <w:b/>
          <w:bCs/>
          <w:sz w:val="22"/>
        </w:rPr>
        <w:t>Bias:</w:t>
      </w:r>
      <w:r w:rsidRPr="002C7CD3">
        <w:rPr>
          <w:rFonts w:eastAsiaTheme="minorEastAsia" w:cs="Times New Roman"/>
          <w:sz w:val="22"/>
        </w:rPr>
        <w:t xml:space="preserve"> Underestimation is typical in domains of rapid change. Electric vehicles are no different. Over the past ten years, it has generally been the case that EV deployment projections have consistently underestimated the reality.</w:t>
      </w:r>
    </w:p>
    <w:p w14:paraId="3A023CBB" w14:textId="5D2D4502" w:rsidR="00ED65E5" w:rsidRPr="002C7CD3" w:rsidRDefault="00863982" w:rsidP="000B5BFC">
      <w:pPr>
        <w:pStyle w:val="ListParagraph"/>
        <w:numPr>
          <w:ilvl w:val="0"/>
          <w:numId w:val="2"/>
        </w:numPr>
        <w:spacing w:line="360" w:lineRule="auto"/>
        <w:jc w:val="both"/>
        <w:rPr>
          <w:rFonts w:eastAsiaTheme="minorEastAsia" w:cs="Times New Roman"/>
          <w:sz w:val="22"/>
        </w:rPr>
      </w:pPr>
      <w:r w:rsidRPr="002C7CD3">
        <w:rPr>
          <w:rFonts w:eastAsiaTheme="minorEastAsia" w:cs="Times New Roman"/>
          <w:b/>
          <w:bCs/>
          <w:sz w:val="22"/>
        </w:rPr>
        <w:t>Scenarios:</w:t>
      </w:r>
      <w:r w:rsidRPr="002C7CD3">
        <w:rPr>
          <w:rFonts w:eastAsiaTheme="minorEastAsia" w:cs="Times New Roman"/>
          <w:sz w:val="22"/>
        </w:rPr>
        <w:t xml:space="preserve"> The included scenarios were selected to represent projections relying on current </w:t>
      </w:r>
      <w:r w:rsidR="00BC0F96" w:rsidRPr="002C7CD3">
        <w:rPr>
          <w:rFonts w:eastAsiaTheme="minorEastAsia" w:cs="Times New Roman"/>
          <w:sz w:val="22"/>
        </w:rPr>
        <w:t xml:space="preserve">policies and expectations of market trends. </w:t>
      </w:r>
      <w:r w:rsidR="00782EC8" w:rsidRPr="002C7CD3">
        <w:rPr>
          <w:rFonts w:eastAsiaTheme="minorEastAsia" w:cs="Times New Roman"/>
          <w:sz w:val="22"/>
        </w:rPr>
        <w:t xml:space="preserve">There is no scenario included which contemplates a significant policy change, despite the fact that </w:t>
      </w:r>
      <w:r w:rsidR="006A3E06" w:rsidRPr="002C7CD3">
        <w:rPr>
          <w:rFonts w:eastAsiaTheme="minorEastAsia" w:cs="Times New Roman"/>
          <w:sz w:val="22"/>
        </w:rPr>
        <w:t xml:space="preserve">climate </w:t>
      </w:r>
      <w:r w:rsidR="00555B45" w:rsidRPr="002C7CD3">
        <w:rPr>
          <w:rFonts w:eastAsiaTheme="minorEastAsia" w:cs="Times New Roman"/>
          <w:sz w:val="22"/>
        </w:rPr>
        <w:t>change mitigation policies</w:t>
      </w:r>
      <w:r w:rsidR="006A3E06" w:rsidRPr="002C7CD3">
        <w:rPr>
          <w:rFonts w:eastAsiaTheme="minorEastAsia" w:cs="Times New Roman"/>
          <w:sz w:val="22"/>
        </w:rPr>
        <w:t xml:space="preserve"> at all levels have increasingly moved to </w:t>
      </w:r>
      <w:r w:rsidR="008A02D2" w:rsidRPr="002C7CD3">
        <w:rPr>
          <w:rFonts w:eastAsiaTheme="minorEastAsia" w:cs="Times New Roman"/>
          <w:sz w:val="22"/>
        </w:rPr>
        <w:t xml:space="preserve">incentivize </w:t>
      </w:r>
      <w:r w:rsidR="00555B45" w:rsidRPr="002C7CD3">
        <w:rPr>
          <w:rFonts w:eastAsiaTheme="minorEastAsia" w:cs="Times New Roman"/>
          <w:sz w:val="22"/>
        </w:rPr>
        <w:t>a switch from fossil-fuel vehicles to EVs</w:t>
      </w:r>
      <w:r w:rsidR="006A3E06" w:rsidRPr="002C7CD3">
        <w:rPr>
          <w:rFonts w:eastAsiaTheme="minorEastAsia" w:cs="Times New Roman"/>
          <w:sz w:val="22"/>
        </w:rPr>
        <w:t>.</w:t>
      </w:r>
      <w:r w:rsidR="0087258B" w:rsidRPr="002C7CD3">
        <w:rPr>
          <w:rFonts w:eastAsiaTheme="minorEastAsia" w:cs="Times New Roman"/>
          <w:sz w:val="22"/>
        </w:rPr>
        <w:t xml:space="preserve"> </w:t>
      </w:r>
      <w:r w:rsidR="001E1985" w:rsidRPr="002C7CD3">
        <w:rPr>
          <w:rFonts w:eastAsiaTheme="minorEastAsia" w:cs="Times New Roman"/>
          <w:sz w:val="22"/>
        </w:rPr>
        <w:t xml:space="preserve">A motivated policy scenario, such as a target of meeting the </w:t>
      </w:r>
      <w:r w:rsidR="00ED61C5" w:rsidRPr="002C7CD3">
        <w:rPr>
          <w:rFonts w:eastAsiaTheme="minorEastAsia" w:cs="Times New Roman"/>
          <w:sz w:val="22"/>
        </w:rPr>
        <w:t>Intergovernmental Panel on Climate Change (</w:t>
      </w:r>
      <w:r w:rsidR="001E1985" w:rsidRPr="002C7CD3">
        <w:rPr>
          <w:rFonts w:eastAsiaTheme="minorEastAsia" w:cs="Times New Roman"/>
          <w:sz w:val="22"/>
        </w:rPr>
        <w:t>IPCC</w:t>
      </w:r>
      <w:r w:rsidR="00ED61C5" w:rsidRPr="002C7CD3">
        <w:rPr>
          <w:rFonts w:eastAsiaTheme="minorEastAsia" w:cs="Times New Roman"/>
          <w:sz w:val="22"/>
        </w:rPr>
        <w:t>)</w:t>
      </w:r>
      <w:r w:rsidR="001E1985" w:rsidRPr="002C7CD3">
        <w:rPr>
          <w:rFonts w:eastAsiaTheme="minorEastAsia" w:cs="Times New Roman"/>
          <w:sz w:val="22"/>
        </w:rPr>
        <w:t xml:space="preserve"> 1.5 degree Celsius target, would </w:t>
      </w:r>
      <w:r w:rsidR="00743DAE" w:rsidRPr="002C7CD3">
        <w:rPr>
          <w:rFonts w:eastAsiaTheme="minorEastAsia" w:cs="Times New Roman"/>
          <w:sz w:val="22"/>
        </w:rPr>
        <w:t xml:space="preserve">require </w:t>
      </w:r>
      <w:r w:rsidR="007778E1" w:rsidRPr="002C7CD3">
        <w:rPr>
          <w:rFonts w:eastAsiaTheme="minorEastAsia" w:cs="Times New Roman"/>
          <w:sz w:val="22"/>
        </w:rPr>
        <w:t xml:space="preserve">nearly </w:t>
      </w:r>
      <w:r w:rsidR="00743DAE" w:rsidRPr="002C7CD3">
        <w:rPr>
          <w:rFonts w:eastAsiaTheme="minorEastAsia" w:cs="Times New Roman"/>
          <w:sz w:val="22"/>
        </w:rPr>
        <w:t xml:space="preserve">100% of new </w:t>
      </w:r>
      <w:r w:rsidR="007778E1" w:rsidRPr="002C7CD3">
        <w:rPr>
          <w:rFonts w:eastAsiaTheme="minorEastAsia" w:cs="Times New Roman"/>
          <w:sz w:val="22"/>
        </w:rPr>
        <w:t>vehicle</w:t>
      </w:r>
      <w:r w:rsidR="00743DAE" w:rsidRPr="002C7CD3">
        <w:rPr>
          <w:rFonts w:eastAsiaTheme="minorEastAsia" w:cs="Times New Roman"/>
          <w:sz w:val="22"/>
        </w:rPr>
        <w:t xml:space="preserve"> sales to be </w:t>
      </w:r>
      <w:r w:rsidR="00F60C59" w:rsidRPr="002C7CD3">
        <w:rPr>
          <w:rFonts w:eastAsiaTheme="minorEastAsia" w:cs="Times New Roman"/>
          <w:sz w:val="22"/>
        </w:rPr>
        <w:t>EV within the next year</w:t>
      </w:r>
      <w:r w:rsidR="007778E1" w:rsidRPr="002C7CD3">
        <w:rPr>
          <w:rFonts w:eastAsiaTheme="minorEastAsia" w:cs="Times New Roman"/>
          <w:sz w:val="22"/>
        </w:rPr>
        <w:t>.</w:t>
      </w:r>
    </w:p>
    <w:p w14:paraId="50581C70" w14:textId="6155620F" w:rsidR="0085454E" w:rsidRPr="002C7CD3" w:rsidRDefault="009C15C8" w:rsidP="000B5BFC">
      <w:pPr>
        <w:pStyle w:val="Heading2"/>
        <w:spacing w:line="360" w:lineRule="auto"/>
        <w:ind w:left="360" w:firstLine="360"/>
        <w:rPr>
          <w:rFonts w:eastAsiaTheme="minorEastAsia" w:cs="Times New Roman"/>
          <w:bCs/>
          <w:sz w:val="22"/>
          <w:szCs w:val="22"/>
        </w:rPr>
      </w:pPr>
      <w:r w:rsidRPr="002C7CD3">
        <w:rPr>
          <w:rFonts w:eastAsiaTheme="minorEastAsia" w:cs="Times New Roman"/>
          <w:bCs/>
          <w:sz w:val="22"/>
          <w:szCs w:val="22"/>
        </w:rPr>
        <w:t>5</w:t>
      </w:r>
      <w:r w:rsidR="005C50EC" w:rsidRPr="002C7CD3">
        <w:rPr>
          <w:rFonts w:eastAsiaTheme="minorEastAsia" w:cs="Times New Roman"/>
          <w:bCs/>
          <w:sz w:val="22"/>
          <w:szCs w:val="22"/>
        </w:rPr>
        <w:t>.</w:t>
      </w:r>
      <w:r w:rsidRPr="002C7CD3">
        <w:rPr>
          <w:rFonts w:eastAsiaTheme="minorEastAsia" w:cs="Times New Roman"/>
          <w:bCs/>
          <w:sz w:val="22"/>
          <w:szCs w:val="22"/>
        </w:rPr>
        <w:tab/>
      </w:r>
      <w:r w:rsidR="001563ED" w:rsidRPr="002C7CD3">
        <w:rPr>
          <w:rFonts w:eastAsiaTheme="minorEastAsia" w:cs="Times New Roman"/>
          <w:bCs/>
          <w:sz w:val="22"/>
          <w:szCs w:val="22"/>
        </w:rPr>
        <w:t>Background Materials</w:t>
      </w:r>
    </w:p>
    <w:p w14:paraId="22756AE8" w14:textId="2D9F38F0" w:rsidR="001563ED" w:rsidRPr="002C7CD3" w:rsidRDefault="00927C11" w:rsidP="000B5BFC">
      <w:pPr>
        <w:spacing w:line="360" w:lineRule="auto"/>
        <w:jc w:val="both"/>
        <w:rPr>
          <w:rFonts w:eastAsiaTheme="minorEastAsia" w:cs="Times New Roman"/>
          <w:sz w:val="22"/>
        </w:rPr>
      </w:pPr>
      <w:r w:rsidRPr="002C7CD3">
        <w:rPr>
          <w:rFonts w:eastAsiaTheme="minorEastAsia" w:cs="Times New Roman"/>
          <w:sz w:val="22"/>
        </w:rPr>
        <w:t>Charts and tables below provide more granular articulation of projections as well as reference materials used to create projections.</w:t>
      </w:r>
    </w:p>
    <w:p w14:paraId="63A51C8D" w14:textId="669C2374" w:rsidR="00645BF9" w:rsidRDefault="00EC774A" w:rsidP="000B5BFC">
      <w:pPr>
        <w:spacing w:line="360" w:lineRule="auto"/>
        <w:jc w:val="both"/>
        <w:rPr>
          <w:rFonts w:eastAsiaTheme="minorEastAsia"/>
        </w:rPr>
      </w:pPr>
      <w:r>
        <w:rPr>
          <w:rFonts w:eastAsiaTheme="minorEastAsia"/>
        </w:rPr>
        <w:br w:type="page"/>
      </w:r>
    </w:p>
    <w:p w14:paraId="4582FF41" w14:textId="6F1CC854" w:rsidR="008E154D" w:rsidRDefault="00645BF9" w:rsidP="00AD764D">
      <w:pPr>
        <w:spacing w:line="360" w:lineRule="auto"/>
        <w:jc w:val="right"/>
        <w:rPr>
          <w:rFonts w:eastAsiaTheme="minorEastAsia"/>
          <w:b/>
          <w:bCs/>
          <w:sz w:val="28"/>
          <w:szCs w:val="28"/>
        </w:rPr>
      </w:pPr>
      <w:r w:rsidRPr="00645BF9">
        <w:rPr>
          <w:rFonts w:eastAsiaTheme="minorEastAsia"/>
          <w:b/>
          <w:bCs/>
          <w:noProof/>
          <w:sz w:val="28"/>
          <w:szCs w:val="28"/>
        </w:rPr>
        <w:lastRenderedPageBreak/>
        <w:drawing>
          <wp:inline distT="0" distB="0" distL="0" distR="0" wp14:anchorId="62D578A1" wp14:editId="5C36A3B2">
            <wp:extent cx="8175366" cy="5783897"/>
            <wp:effectExtent l="0" t="4445" r="0" b="0"/>
            <wp:docPr id="1" name="Picture 2">
              <a:extLst xmlns:a="http://schemas.openxmlformats.org/drawingml/2006/main">
                <a:ext uri="{FF2B5EF4-FFF2-40B4-BE49-F238E27FC236}">
                  <a16:creationId xmlns:a16="http://schemas.microsoft.com/office/drawing/2014/main" id="{7FE372E8-B5AC-45CD-96A1-37EC73E156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FE372E8-B5AC-45CD-96A1-37EC73E156B6}"/>
                        </a:ext>
                      </a:extLst>
                    </pic:cNvPr>
                    <pic:cNvPicPr>
                      <a:picLocks noChangeAspect="1"/>
                    </pic:cNvPicPr>
                  </pic:nvPicPr>
                  <pic:blipFill>
                    <a:blip r:embed="rId16"/>
                    <a:stretch>
                      <a:fillRect/>
                    </a:stretch>
                  </pic:blipFill>
                  <pic:spPr>
                    <a:xfrm rot="16200000">
                      <a:off x="0" y="0"/>
                      <a:ext cx="8203421" cy="5803745"/>
                    </a:xfrm>
                    <a:prstGeom prst="rect">
                      <a:avLst/>
                    </a:prstGeom>
                  </pic:spPr>
                </pic:pic>
              </a:graphicData>
            </a:graphic>
          </wp:inline>
        </w:drawing>
      </w:r>
    </w:p>
    <w:p w14:paraId="4FA81A0B" w14:textId="77777777" w:rsidR="00852CAD" w:rsidRDefault="00852CAD" w:rsidP="00AD764D">
      <w:pPr>
        <w:spacing w:line="360" w:lineRule="auto"/>
        <w:jc w:val="center"/>
        <w:rPr>
          <w:rFonts w:eastAsiaTheme="minorEastAsia"/>
          <w:b/>
          <w:bCs/>
          <w:sz w:val="28"/>
          <w:szCs w:val="28"/>
        </w:rPr>
      </w:pPr>
      <w:r>
        <w:rPr>
          <w:rFonts w:eastAsiaTheme="minorEastAsia"/>
          <w:b/>
          <w:bCs/>
          <w:noProof/>
          <w:sz w:val="28"/>
          <w:szCs w:val="28"/>
        </w:rPr>
        <w:lastRenderedPageBreak/>
        <w:drawing>
          <wp:inline distT="0" distB="0" distL="0" distR="0" wp14:anchorId="7417A0EE" wp14:editId="006CA7C5">
            <wp:extent cx="5513832" cy="348691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13832" cy="3486918"/>
                    </a:xfrm>
                    <a:prstGeom prst="rect">
                      <a:avLst/>
                    </a:prstGeom>
                    <a:noFill/>
                  </pic:spPr>
                </pic:pic>
              </a:graphicData>
            </a:graphic>
          </wp:inline>
        </w:drawing>
      </w:r>
    </w:p>
    <w:p w14:paraId="26256620" w14:textId="3E3E28C4" w:rsidR="00852CAD" w:rsidRDefault="00852CAD" w:rsidP="000B5BFC">
      <w:pPr>
        <w:spacing w:line="360" w:lineRule="auto"/>
        <w:jc w:val="both"/>
        <w:rPr>
          <w:rFonts w:eastAsiaTheme="minorEastAsia"/>
          <w:b/>
          <w:bCs/>
          <w:sz w:val="28"/>
          <w:szCs w:val="28"/>
        </w:rPr>
      </w:pPr>
    </w:p>
    <w:p w14:paraId="71AEB08E" w14:textId="77777777" w:rsidR="00852CAD" w:rsidRDefault="00852CAD" w:rsidP="000B5BFC">
      <w:pPr>
        <w:spacing w:line="360" w:lineRule="auto"/>
        <w:jc w:val="both"/>
        <w:rPr>
          <w:rFonts w:eastAsiaTheme="minorEastAsia"/>
          <w:b/>
          <w:bCs/>
          <w:sz w:val="28"/>
          <w:szCs w:val="28"/>
        </w:rPr>
      </w:pPr>
    </w:p>
    <w:p w14:paraId="74C536CF" w14:textId="77777777" w:rsidR="00852CAD" w:rsidRDefault="00852CAD" w:rsidP="00AD764D">
      <w:pPr>
        <w:spacing w:line="360" w:lineRule="auto"/>
        <w:jc w:val="center"/>
        <w:rPr>
          <w:rFonts w:eastAsiaTheme="minorEastAsia"/>
          <w:b/>
          <w:bCs/>
          <w:sz w:val="28"/>
          <w:szCs w:val="28"/>
        </w:rPr>
      </w:pPr>
      <w:r>
        <w:rPr>
          <w:rFonts w:eastAsiaTheme="minorEastAsia"/>
          <w:b/>
          <w:bCs/>
          <w:noProof/>
          <w:sz w:val="28"/>
          <w:szCs w:val="28"/>
        </w:rPr>
        <w:drawing>
          <wp:inline distT="0" distB="0" distL="0" distR="0" wp14:anchorId="37E776F5" wp14:editId="612BB490">
            <wp:extent cx="5486400" cy="3382377"/>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3382377"/>
                    </a:xfrm>
                    <a:prstGeom prst="rect">
                      <a:avLst/>
                    </a:prstGeom>
                    <a:noFill/>
                  </pic:spPr>
                </pic:pic>
              </a:graphicData>
            </a:graphic>
          </wp:inline>
        </w:drawing>
      </w:r>
    </w:p>
    <w:p w14:paraId="6E15E0A7" w14:textId="3FDC3B56" w:rsidR="00645BF9" w:rsidRDefault="00852CAD" w:rsidP="00AD764D">
      <w:pPr>
        <w:spacing w:line="360" w:lineRule="auto"/>
        <w:jc w:val="center"/>
        <w:rPr>
          <w:rFonts w:eastAsiaTheme="minorEastAsia"/>
          <w:b/>
          <w:bCs/>
          <w:sz w:val="28"/>
          <w:szCs w:val="28"/>
        </w:rPr>
      </w:pPr>
      <w:r>
        <w:rPr>
          <w:rFonts w:eastAsiaTheme="minorEastAsia"/>
          <w:b/>
          <w:bCs/>
          <w:noProof/>
          <w:sz w:val="28"/>
          <w:szCs w:val="28"/>
        </w:rPr>
        <w:lastRenderedPageBreak/>
        <w:drawing>
          <wp:inline distT="0" distB="0" distL="0" distR="0" wp14:anchorId="12A4CE27" wp14:editId="0382C9F8">
            <wp:extent cx="5486400" cy="337440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3374408"/>
                    </a:xfrm>
                    <a:prstGeom prst="rect">
                      <a:avLst/>
                    </a:prstGeom>
                    <a:noFill/>
                  </pic:spPr>
                </pic:pic>
              </a:graphicData>
            </a:graphic>
          </wp:inline>
        </w:drawing>
      </w:r>
      <w:r w:rsidR="00645BF9">
        <w:rPr>
          <w:rFonts w:eastAsiaTheme="minorEastAsia"/>
          <w:b/>
          <w:bCs/>
          <w:sz w:val="28"/>
          <w:szCs w:val="28"/>
        </w:rPr>
        <w:br w:type="page"/>
      </w:r>
    </w:p>
    <w:p w14:paraId="1A83E14A" w14:textId="182F6A83" w:rsidR="00EC774A" w:rsidRDefault="006353D3" w:rsidP="000B5BFC">
      <w:pPr>
        <w:spacing w:line="360" w:lineRule="auto"/>
        <w:jc w:val="center"/>
        <w:rPr>
          <w:rFonts w:eastAsiaTheme="minorEastAsia"/>
          <w:b/>
          <w:bCs/>
          <w:sz w:val="28"/>
          <w:szCs w:val="28"/>
        </w:rPr>
      </w:pPr>
      <w:r>
        <w:rPr>
          <w:rFonts w:eastAsiaTheme="minorEastAsia"/>
          <w:b/>
          <w:bCs/>
          <w:sz w:val="28"/>
          <w:szCs w:val="28"/>
        </w:rPr>
        <w:lastRenderedPageBreak/>
        <w:t>IEA NPS</w:t>
      </w:r>
      <w:r w:rsidR="00EC774A" w:rsidRPr="00EC774A">
        <w:rPr>
          <w:rFonts w:eastAsiaTheme="minorEastAsia"/>
          <w:b/>
          <w:bCs/>
          <w:sz w:val="28"/>
          <w:szCs w:val="28"/>
        </w:rPr>
        <w:t xml:space="preserve"> Scenario</w:t>
      </w:r>
      <w:r w:rsidR="00645BF9">
        <w:rPr>
          <w:rFonts w:eastAsiaTheme="minorEastAsia"/>
          <w:b/>
          <w:bCs/>
          <w:sz w:val="28"/>
          <w:szCs w:val="28"/>
        </w:rPr>
        <w:t xml:space="preserve"> Models</w:t>
      </w:r>
    </w:p>
    <w:p w14:paraId="50668256" w14:textId="77777777" w:rsidR="00EC774A" w:rsidRPr="00EC774A" w:rsidRDefault="00EC774A" w:rsidP="000B5BFC">
      <w:pPr>
        <w:spacing w:line="360" w:lineRule="auto"/>
        <w:jc w:val="both"/>
        <w:rPr>
          <w:rFonts w:eastAsiaTheme="minorEastAsia"/>
          <w:b/>
          <w:bCs/>
          <w:sz w:val="28"/>
          <w:szCs w:val="28"/>
        </w:rPr>
      </w:pPr>
    </w:p>
    <w:p w14:paraId="07A30EC3" w14:textId="23E1F6B4" w:rsidR="00EC774A" w:rsidRDefault="006D6C01" w:rsidP="00AD764D">
      <w:pPr>
        <w:spacing w:line="360" w:lineRule="auto"/>
        <w:rPr>
          <w:rFonts w:eastAsiaTheme="minorEastAsia"/>
        </w:rPr>
      </w:pPr>
      <w:r w:rsidRPr="006D6C01">
        <w:rPr>
          <w:noProof/>
        </w:rPr>
        <w:drawing>
          <wp:inline distT="0" distB="0" distL="0" distR="0" wp14:anchorId="1879D5F0" wp14:editId="50F4FFC1">
            <wp:extent cx="5943600" cy="18910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1891030"/>
                    </a:xfrm>
                    <a:prstGeom prst="rect">
                      <a:avLst/>
                    </a:prstGeom>
                    <a:noFill/>
                    <a:ln>
                      <a:noFill/>
                    </a:ln>
                  </pic:spPr>
                </pic:pic>
              </a:graphicData>
            </a:graphic>
          </wp:inline>
        </w:drawing>
      </w:r>
    </w:p>
    <w:p w14:paraId="157A0970" w14:textId="77777777" w:rsidR="00EC774A" w:rsidRDefault="00EC774A" w:rsidP="000B5BFC">
      <w:pPr>
        <w:spacing w:line="360" w:lineRule="auto"/>
        <w:jc w:val="both"/>
        <w:rPr>
          <w:rFonts w:eastAsiaTheme="minorEastAsia"/>
        </w:rPr>
      </w:pPr>
    </w:p>
    <w:p w14:paraId="05C8C2D1" w14:textId="13DDE016" w:rsidR="00EC774A" w:rsidRDefault="00E137B9" w:rsidP="000B5BFC">
      <w:pPr>
        <w:spacing w:line="360" w:lineRule="auto"/>
        <w:jc w:val="both"/>
        <w:rPr>
          <w:rFonts w:eastAsiaTheme="minorEastAsia"/>
        </w:rPr>
      </w:pPr>
      <w:r w:rsidRPr="00E137B9">
        <w:rPr>
          <w:noProof/>
        </w:rPr>
        <w:drawing>
          <wp:inline distT="0" distB="0" distL="0" distR="0" wp14:anchorId="75596750" wp14:editId="37D00080">
            <wp:extent cx="5943600" cy="189103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1891030"/>
                    </a:xfrm>
                    <a:prstGeom prst="rect">
                      <a:avLst/>
                    </a:prstGeom>
                    <a:noFill/>
                    <a:ln>
                      <a:noFill/>
                    </a:ln>
                  </pic:spPr>
                </pic:pic>
              </a:graphicData>
            </a:graphic>
          </wp:inline>
        </w:drawing>
      </w:r>
    </w:p>
    <w:p w14:paraId="01E67717" w14:textId="77777777" w:rsidR="00EC774A" w:rsidRDefault="00EC774A" w:rsidP="000B5BFC">
      <w:pPr>
        <w:spacing w:line="360" w:lineRule="auto"/>
        <w:jc w:val="both"/>
        <w:rPr>
          <w:rFonts w:eastAsiaTheme="minorEastAsia"/>
        </w:rPr>
      </w:pPr>
    </w:p>
    <w:p w14:paraId="16A3577E" w14:textId="77777777" w:rsidR="00A25DBB" w:rsidRDefault="00382ED6" w:rsidP="000B5BFC">
      <w:pPr>
        <w:spacing w:line="360" w:lineRule="auto"/>
        <w:jc w:val="both"/>
        <w:rPr>
          <w:rFonts w:eastAsiaTheme="minorEastAsia"/>
        </w:rPr>
      </w:pPr>
      <w:r w:rsidRPr="00382ED6">
        <w:rPr>
          <w:noProof/>
        </w:rPr>
        <w:drawing>
          <wp:inline distT="0" distB="0" distL="0" distR="0" wp14:anchorId="044EE0D5" wp14:editId="3BB38EF5">
            <wp:extent cx="5943600" cy="18910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1891030"/>
                    </a:xfrm>
                    <a:prstGeom prst="rect">
                      <a:avLst/>
                    </a:prstGeom>
                    <a:noFill/>
                    <a:ln>
                      <a:noFill/>
                    </a:ln>
                  </pic:spPr>
                </pic:pic>
              </a:graphicData>
            </a:graphic>
          </wp:inline>
        </w:drawing>
      </w:r>
    </w:p>
    <w:p w14:paraId="4D32F5A3" w14:textId="77777777" w:rsidR="005E39F2" w:rsidRDefault="005E39F2">
      <w:pPr>
        <w:spacing w:after="160" w:line="259" w:lineRule="auto"/>
        <w:ind w:firstLine="0"/>
        <w:rPr>
          <w:rFonts w:eastAsiaTheme="minorEastAsia"/>
          <w:b/>
          <w:bCs/>
          <w:sz w:val="28"/>
          <w:szCs w:val="28"/>
        </w:rPr>
      </w:pPr>
      <w:r>
        <w:rPr>
          <w:rFonts w:eastAsiaTheme="minorEastAsia"/>
          <w:b/>
          <w:bCs/>
          <w:sz w:val="28"/>
          <w:szCs w:val="28"/>
        </w:rPr>
        <w:br w:type="page"/>
      </w:r>
    </w:p>
    <w:p w14:paraId="5B04811A" w14:textId="31CAD3FA" w:rsidR="00A860CF" w:rsidRPr="00A25DBB" w:rsidRDefault="006D6C01" w:rsidP="000B5BFC">
      <w:pPr>
        <w:spacing w:line="360" w:lineRule="auto"/>
        <w:jc w:val="center"/>
        <w:rPr>
          <w:rFonts w:eastAsiaTheme="minorEastAsia"/>
        </w:rPr>
      </w:pPr>
      <w:r>
        <w:rPr>
          <w:rFonts w:eastAsiaTheme="minorEastAsia"/>
          <w:b/>
          <w:bCs/>
          <w:sz w:val="28"/>
          <w:szCs w:val="28"/>
        </w:rPr>
        <w:lastRenderedPageBreak/>
        <w:t>BNEF</w:t>
      </w:r>
      <w:r w:rsidR="00A860CF" w:rsidRPr="00EC774A">
        <w:rPr>
          <w:rFonts w:eastAsiaTheme="minorEastAsia"/>
          <w:b/>
          <w:bCs/>
          <w:sz w:val="28"/>
          <w:szCs w:val="28"/>
        </w:rPr>
        <w:t xml:space="preserve"> Scenario</w:t>
      </w:r>
      <w:r w:rsidR="00645BF9">
        <w:rPr>
          <w:rFonts w:eastAsiaTheme="minorEastAsia"/>
          <w:b/>
          <w:bCs/>
          <w:sz w:val="28"/>
          <w:szCs w:val="28"/>
        </w:rPr>
        <w:t xml:space="preserve"> Models</w:t>
      </w:r>
    </w:p>
    <w:p w14:paraId="56D99FA8" w14:textId="77777777" w:rsidR="00A860CF" w:rsidRDefault="00A860CF" w:rsidP="000B5BFC">
      <w:pPr>
        <w:spacing w:line="360" w:lineRule="auto"/>
        <w:jc w:val="both"/>
        <w:rPr>
          <w:rFonts w:eastAsiaTheme="minorEastAsia"/>
        </w:rPr>
      </w:pPr>
    </w:p>
    <w:p w14:paraId="75CEC85E" w14:textId="5753E378" w:rsidR="00A860CF" w:rsidRDefault="0081736F" w:rsidP="000B5BFC">
      <w:pPr>
        <w:spacing w:line="360" w:lineRule="auto"/>
        <w:jc w:val="both"/>
        <w:rPr>
          <w:rFonts w:eastAsiaTheme="minorEastAsia"/>
        </w:rPr>
      </w:pPr>
      <w:r w:rsidRPr="0081736F">
        <w:rPr>
          <w:noProof/>
        </w:rPr>
        <w:drawing>
          <wp:inline distT="0" distB="0" distL="0" distR="0" wp14:anchorId="38CA9D1C" wp14:editId="5CC87BF2">
            <wp:extent cx="5943600" cy="18910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1891030"/>
                    </a:xfrm>
                    <a:prstGeom prst="rect">
                      <a:avLst/>
                    </a:prstGeom>
                    <a:noFill/>
                    <a:ln>
                      <a:noFill/>
                    </a:ln>
                  </pic:spPr>
                </pic:pic>
              </a:graphicData>
            </a:graphic>
          </wp:inline>
        </w:drawing>
      </w:r>
    </w:p>
    <w:p w14:paraId="18E9C446" w14:textId="77777777" w:rsidR="00A860CF" w:rsidRDefault="00A860CF" w:rsidP="000B5BFC">
      <w:pPr>
        <w:spacing w:line="360" w:lineRule="auto"/>
        <w:jc w:val="both"/>
        <w:rPr>
          <w:rFonts w:eastAsiaTheme="minorEastAsia"/>
        </w:rPr>
      </w:pPr>
    </w:p>
    <w:p w14:paraId="6CBBD728" w14:textId="70347FED" w:rsidR="00A860CF" w:rsidRDefault="00C56F47" w:rsidP="000B5BFC">
      <w:pPr>
        <w:spacing w:line="360" w:lineRule="auto"/>
        <w:jc w:val="both"/>
        <w:rPr>
          <w:rFonts w:eastAsiaTheme="minorEastAsia"/>
        </w:rPr>
      </w:pPr>
      <w:r w:rsidRPr="00C56F47">
        <w:rPr>
          <w:noProof/>
        </w:rPr>
        <w:drawing>
          <wp:inline distT="0" distB="0" distL="0" distR="0" wp14:anchorId="54113ABE" wp14:editId="7FB93714">
            <wp:extent cx="5943600" cy="189103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1891030"/>
                    </a:xfrm>
                    <a:prstGeom prst="rect">
                      <a:avLst/>
                    </a:prstGeom>
                    <a:noFill/>
                    <a:ln>
                      <a:noFill/>
                    </a:ln>
                  </pic:spPr>
                </pic:pic>
              </a:graphicData>
            </a:graphic>
          </wp:inline>
        </w:drawing>
      </w:r>
    </w:p>
    <w:p w14:paraId="7D3A02BA" w14:textId="77777777" w:rsidR="00A860CF" w:rsidRDefault="00A860CF" w:rsidP="000B5BFC">
      <w:pPr>
        <w:spacing w:line="360" w:lineRule="auto"/>
        <w:jc w:val="both"/>
        <w:rPr>
          <w:rFonts w:eastAsiaTheme="minorEastAsia"/>
        </w:rPr>
      </w:pPr>
    </w:p>
    <w:p w14:paraId="35879AAC" w14:textId="014F9225" w:rsidR="00A860CF" w:rsidRDefault="00AB06E4" w:rsidP="000B5BFC">
      <w:pPr>
        <w:spacing w:line="360" w:lineRule="auto"/>
        <w:jc w:val="both"/>
        <w:rPr>
          <w:rFonts w:eastAsiaTheme="minorEastAsia"/>
        </w:rPr>
      </w:pPr>
      <w:r w:rsidRPr="00AB06E4">
        <w:rPr>
          <w:noProof/>
        </w:rPr>
        <w:drawing>
          <wp:inline distT="0" distB="0" distL="0" distR="0" wp14:anchorId="39317903" wp14:editId="148F6F1B">
            <wp:extent cx="5943600" cy="18910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1891030"/>
                    </a:xfrm>
                    <a:prstGeom prst="rect">
                      <a:avLst/>
                    </a:prstGeom>
                    <a:noFill/>
                    <a:ln>
                      <a:noFill/>
                    </a:ln>
                  </pic:spPr>
                </pic:pic>
              </a:graphicData>
            </a:graphic>
          </wp:inline>
        </w:drawing>
      </w:r>
      <w:r w:rsidR="00A860CF">
        <w:rPr>
          <w:rFonts w:eastAsiaTheme="minorEastAsia"/>
        </w:rPr>
        <w:br w:type="page"/>
      </w:r>
    </w:p>
    <w:p w14:paraId="2E459120" w14:textId="3E171FE5" w:rsidR="00A860CF" w:rsidRDefault="001A30C9" w:rsidP="000B5BFC">
      <w:pPr>
        <w:spacing w:line="360" w:lineRule="auto"/>
        <w:jc w:val="center"/>
        <w:rPr>
          <w:rFonts w:eastAsiaTheme="minorEastAsia"/>
          <w:b/>
          <w:bCs/>
          <w:sz w:val="28"/>
          <w:szCs w:val="28"/>
        </w:rPr>
      </w:pPr>
      <w:r>
        <w:rPr>
          <w:rFonts w:eastAsiaTheme="minorEastAsia"/>
          <w:b/>
          <w:bCs/>
          <w:sz w:val="28"/>
          <w:szCs w:val="28"/>
        </w:rPr>
        <w:lastRenderedPageBreak/>
        <w:t>SUV Analogue</w:t>
      </w:r>
      <w:r w:rsidR="00A860CF" w:rsidRPr="00EC774A">
        <w:rPr>
          <w:rFonts w:eastAsiaTheme="minorEastAsia"/>
          <w:b/>
          <w:bCs/>
          <w:sz w:val="28"/>
          <w:szCs w:val="28"/>
        </w:rPr>
        <w:t xml:space="preserve"> Scenario</w:t>
      </w:r>
      <w:r w:rsidR="00645BF9">
        <w:rPr>
          <w:rFonts w:eastAsiaTheme="minorEastAsia"/>
          <w:b/>
          <w:bCs/>
          <w:sz w:val="28"/>
          <w:szCs w:val="28"/>
        </w:rPr>
        <w:t xml:space="preserve"> Models</w:t>
      </w:r>
    </w:p>
    <w:p w14:paraId="3DDD4DE5" w14:textId="77777777" w:rsidR="00A860CF" w:rsidRDefault="00A860CF" w:rsidP="000B5BFC">
      <w:pPr>
        <w:spacing w:line="360" w:lineRule="auto"/>
        <w:jc w:val="both"/>
        <w:rPr>
          <w:rFonts w:eastAsiaTheme="minorEastAsia"/>
        </w:rPr>
      </w:pPr>
    </w:p>
    <w:p w14:paraId="6E0218CA" w14:textId="59F6EE18" w:rsidR="00A860CF" w:rsidRDefault="00596EFC" w:rsidP="000B5BFC">
      <w:pPr>
        <w:spacing w:line="360" w:lineRule="auto"/>
        <w:jc w:val="both"/>
        <w:rPr>
          <w:rFonts w:eastAsiaTheme="minorEastAsia"/>
        </w:rPr>
      </w:pPr>
      <w:r w:rsidRPr="00596EFC">
        <w:rPr>
          <w:noProof/>
        </w:rPr>
        <w:drawing>
          <wp:inline distT="0" distB="0" distL="0" distR="0" wp14:anchorId="714A1418" wp14:editId="5B422B60">
            <wp:extent cx="5943600" cy="18910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1891030"/>
                    </a:xfrm>
                    <a:prstGeom prst="rect">
                      <a:avLst/>
                    </a:prstGeom>
                    <a:noFill/>
                    <a:ln>
                      <a:noFill/>
                    </a:ln>
                  </pic:spPr>
                </pic:pic>
              </a:graphicData>
            </a:graphic>
          </wp:inline>
        </w:drawing>
      </w:r>
    </w:p>
    <w:p w14:paraId="617DEBFA" w14:textId="77777777" w:rsidR="00A860CF" w:rsidRDefault="00A860CF" w:rsidP="000B5BFC">
      <w:pPr>
        <w:spacing w:line="360" w:lineRule="auto"/>
        <w:jc w:val="both"/>
        <w:rPr>
          <w:rFonts w:eastAsiaTheme="minorEastAsia"/>
        </w:rPr>
      </w:pPr>
    </w:p>
    <w:p w14:paraId="36D2B38E" w14:textId="69D7E9A9" w:rsidR="00A860CF" w:rsidRDefault="00A860CF" w:rsidP="000B5BFC">
      <w:pPr>
        <w:spacing w:line="360" w:lineRule="auto"/>
        <w:jc w:val="both"/>
        <w:rPr>
          <w:rFonts w:eastAsiaTheme="minorEastAsia"/>
        </w:rPr>
      </w:pPr>
    </w:p>
    <w:p w14:paraId="7CB3D071" w14:textId="1558A546" w:rsidR="00645BF9" w:rsidRPr="00645BF9" w:rsidRDefault="00645BF9" w:rsidP="000B5BFC">
      <w:pPr>
        <w:spacing w:line="360" w:lineRule="auto"/>
        <w:jc w:val="both"/>
        <w:rPr>
          <w:rFonts w:eastAsiaTheme="minorEastAsia"/>
        </w:rPr>
      </w:pPr>
    </w:p>
    <w:p w14:paraId="607E7E7D" w14:textId="0F1AC4EE" w:rsidR="005B578B" w:rsidRPr="00E300F4" w:rsidRDefault="00645BF9" w:rsidP="00E300F4">
      <w:pPr>
        <w:spacing w:line="360" w:lineRule="auto"/>
        <w:jc w:val="both"/>
        <w:rPr>
          <w:rFonts w:eastAsiaTheme="minorEastAsia"/>
          <w:b/>
          <w:sz w:val="32"/>
          <w:szCs w:val="20"/>
        </w:rPr>
      </w:pPr>
      <w:r w:rsidRPr="00645BF9">
        <w:rPr>
          <w:rFonts w:eastAsiaTheme="minorEastAsia"/>
          <w:b/>
          <w:noProof/>
          <w:sz w:val="32"/>
        </w:rPr>
        <w:lastRenderedPageBreak/>
        <w:drawing>
          <wp:inline distT="0" distB="0" distL="0" distR="0" wp14:anchorId="570B151A" wp14:editId="7880B074">
            <wp:extent cx="5943600" cy="5095240"/>
            <wp:effectExtent l="0" t="0" r="0" b="0"/>
            <wp:docPr id="8" name="Picture 3">
              <a:extLst xmlns:a="http://schemas.openxmlformats.org/drawingml/2006/main">
                <a:ext uri="{FF2B5EF4-FFF2-40B4-BE49-F238E27FC236}">
                  <a16:creationId xmlns:a16="http://schemas.microsoft.com/office/drawing/2014/main" id="{6D423072-9BDD-41F1-8A72-4681EDF3F9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D423072-9BDD-41F1-8A72-4681EDF3F961}"/>
                        </a:ext>
                      </a:extLst>
                    </pic:cNvPr>
                    <pic:cNvPicPr>
                      <a:picLocks noChangeAspect="1"/>
                    </pic:cNvPicPr>
                  </pic:nvPicPr>
                  <pic:blipFill>
                    <a:blip r:embed="rId27"/>
                    <a:stretch>
                      <a:fillRect/>
                    </a:stretch>
                  </pic:blipFill>
                  <pic:spPr>
                    <a:xfrm>
                      <a:off x="0" y="0"/>
                      <a:ext cx="5943600" cy="5095240"/>
                    </a:xfrm>
                    <a:prstGeom prst="rect">
                      <a:avLst/>
                    </a:prstGeom>
                  </pic:spPr>
                </pic:pic>
              </a:graphicData>
            </a:graphic>
          </wp:inline>
        </w:drawing>
      </w:r>
    </w:p>
    <w:p w14:paraId="05F7A277" w14:textId="77777777" w:rsidR="00E300F4" w:rsidRDefault="00E300F4">
      <w:pPr>
        <w:spacing w:after="160" w:line="259" w:lineRule="auto"/>
        <w:ind w:firstLine="0"/>
        <w:rPr>
          <w:b/>
          <w:bCs/>
          <w:sz w:val="22"/>
        </w:rPr>
      </w:pPr>
      <w:r>
        <w:rPr>
          <w:b/>
          <w:bCs/>
          <w:sz w:val="22"/>
        </w:rPr>
        <w:br w:type="page"/>
      </w:r>
    </w:p>
    <w:p w14:paraId="36294EC6" w14:textId="11019D2E" w:rsidR="005B578B" w:rsidRPr="002C7CD3" w:rsidRDefault="005B578B" w:rsidP="000B5BFC">
      <w:pPr>
        <w:spacing w:line="360" w:lineRule="auto"/>
        <w:ind w:firstLine="0"/>
        <w:rPr>
          <w:b/>
          <w:bCs/>
          <w:sz w:val="22"/>
        </w:rPr>
      </w:pPr>
      <w:r w:rsidRPr="002C7CD3">
        <w:rPr>
          <w:b/>
          <w:bCs/>
          <w:sz w:val="22"/>
        </w:rPr>
        <w:lastRenderedPageBreak/>
        <w:t>QUESTION #2</w:t>
      </w:r>
    </w:p>
    <w:p w14:paraId="73203BF4" w14:textId="60E18D00" w:rsidR="005B578B" w:rsidRPr="002C7CD3" w:rsidRDefault="005B578B" w:rsidP="00FE0E92">
      <w:pPr>
        <w:spacing w:line="240" w:lineRule="auto"/>
        <w:ind w:firstLine="0"/>
        <w:jc w:val="both"/>
        <w:rPr>
          <w:rFonts w:cs="Times New Roman"/>
          <w:b/>
          <w:bCs/>
          <w:sz w:val="22"/>
        </w:rPr>
      </w:pPr>
      <w:r w:rsidRPr="002C7CD3">
        <w:rPr>
          <w:rFonts w:cs="Times New Roman"/>
          <w:b/>
          <w:bCs/>
          <w:sz w:val="22"/>
        </w:rPr>
        <w:t>Please provide any current data sources and information on the expected amount of new load attributable to electric vehicles over the next ten years.  If available, the data sources should attribute this load by vehicle (i.e., personal, commercial short-haul including fleets and buses, and commercial long-haul electric vehicles).</w:t>
      </w:r>
    </w:p>
    <w:p w14:paraId="47EB2C51" w14:textId="77777777" w:rsidR="0036376C" w:rsidRPr="002C7CD3" w:rsidRDefault="0036376C" w:rsidP="000B5BFC">
      <w:pPr>
        <w:spacing w:line="360" w:lineRule="auto"/>
        <w:ind w:firstLine="0"/>
        <w:jc w:val="both"/>
        <w:rPr>
          <w:rFonts w:cs="Times New Roman"/>
          <w:b/>
          <w:bCs/>
          <w:sz w:val="22"/>
        </w:rPr>
      </w:pPr>
    </w:p>
    <w:p w14:paraId="69F7D789" w14:textId="502D3779" w:rsidR="002725FC" w:rsidRPr="002C7CD3" w:rsidRDefault="005B578B" w:rsidP="000B5BFC">
      <w:pPr>
        <w:spacing w:line="360" w:lineRule="auto"/>
        <w:jc w:val="both"/>
        <w:rPr>
          <w:rFonts w:cs="Times New Roman"/>
          <w:sz w:val="22"/>
        </w:rPr>
      </w:pPr>
      <w:r w:rsidRPr="002C7CD3">
        <w:rPr>
          <w:rFonts w:cs="Times New Roman"/>
          <w:sz w:val="22"/>
        </w:rPr>
        <w:t xml:space="preserve">Electric vehicles (EVs) will have different load characteristics depending on the number of vehicles in each class, the respective consumption of each class, and operator charging behaviors. Scenarios for the number of vehicles are already defined in the answer to Question #1. </w:t>
      </w:r>
    </w:p>
    <w:p w14:paraId="6414999B" w14:textId="77777777" w:rsidR="002725FC" w:rsidRPr="002C7CD3" w:rsidRDefault="002725FC" w:rsidP="000B5BFC">
      <w:pPr>
        <w:spacing w:line="360" w:lineRule="auto"/>
        <w:jc w:val="center"/>
        <w:rPr>
          <w:sz w:val="22"/>
        </w:rPr>
      </w:pPr>
      <w:r w:rsidRPr="002C7CD3">
        <w:rPr>
          <w:sz w:val="22"/>
        </w:rPr>
        <w:t xml:space="preserve"> </w:t>
      </w:r>
      <w:r w:rsidRPr="002C7CD3">
        <w:rPr>
          <w:noProof/>
          <w:sz w:val="22"/>
        </w:rPr>
        <w:drawing>
          <wp:inline distT="0" distB="0" distL="0" distR="0" wp14:anchorId="42BFA30C" wp14:editId="4CDEC91E">
            <wp:extent cx="4692650" cy="10223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92650" cy="1022350"/>
                    </a:xfrm>
                    <a:prstGeom prst="rect">
                      <a:avLst/>
                    </a:prstGeom>
                    <a:noFill/>
                    <a:ln>
                      <a:noFill/>
                    </a:ln>
                  </pic:spPr>
                </pic:pic>
              </a:graphicData>
            </a:graphic>
          </wp:inline>
        </w:drawing>
      </w:r>
    </w:p>
    <w:p w14:paraId="0555AC4C" w14:textId="32BC264B" w:rsidR="002725FC" w:rsidRPr="002C7CD3" w:rsidRDefault="002725FC" w:rsidP="000B5BFC">
      <w:pPr>
        <w:spacing w:line="360" w:lineRule="auto"/>
        <w:jc w:val="center"/>
        <w:rPr>
          <w:sz w:val="22"/>
        </w:rPr>
      </w:pPr>
      <w:r w:rsidRPr="002C7CD3">
        <w:rPr>
          <w:noProof/>
          <w:sz w:val="22"/>
        </w:rPr>
        <w:drawing>
          <wp:inline distT="0" distB="0" distL="0" distR="0" wp14:anchorId="19D661DC" wp14:editId="50750638">
            <wp:extent cx="4692650" cy="10223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92650" cy="1022350"/>
                    </a:xfrm>
                    <a:prstGeom prst="rect">
                      <a:avLst/>
                    </a:prstGeom>
                    <a:noFill/>
                    <a:ln>
                      <a:noFill/>
                    </a:ln>
                  </pic:spPr>
                </pic:pic>
              </a:graphicData>
            </a:graphic>
          </wp:inline>
        </w:drawing>
      </w:r>
    </w:p>
    <w:p w14:paraId="530E5931" w14:textId="7D93A9F4" w:rsidR="002725FC" w:rsidRPr="002C7CD3" w:rsidRDefault="00537B64" w:rsidP="000B5BFC">
      <w:pPr>
        <w:spacing w:line="360" w:lineRule="auto"/>
        <w:rPr>
          <w:rFonts w:cstheme="majorBidi"/>
          <w:b/>
          <w:bCs/>
          <w:sz w:val="22"/>
        </w:rPr>
      </w:pPr>
      <w:r w:rsidRPr="002C7CD3">
        <w:rPr>
          <w:b/>
          <w:bCs/>
          <w:sz w:val="22"/>
        </w:rPr>
        <w:t>1.</w:t>
      </w:r>
      <w:r w:rsidRPr="002C7CD3">
        <w:rPr>
          <w:b/>
          <w:bCs/>
          <w:sz w:val="22"/>
        </w:rPr>
        <w:tab/>
      </w:r>
      <w:r w:rsidR="002725FC" w:rsidRPr="002C7CD3">
        <w:rPr>
          <w:b/>
          <w:bCs/>
          <w:sz w:val="22"/>
        </w:rPr>
        <w:t>Energy Consumption</w:t>
      </w:r>
    </w:p>
    <w:p w14:paraId="63DDAB31" w14:textId="2003E9BA" w:rsidR="00537B64" w:rsidRPr="002C7CD3" w:rsidRDefault="00537B64" w:rsidP="000B5BFC">
      <w:pPr>
        <w:spacing w:line="360" w:lineRule="auto"/>
        <w:rPr>
          <w:sz w:val="22"/>
        </w:rPr>
      </w:pPr>
      <w:r w:rsidRPr="002C7CD3">
        <w:rPr>
          <w:sz w:val="22"/>
        </w:rPr>
        <w:t>Estimates of energy consumption can be drawn from vehicle watt hour per mile ratings</w:t>
      </w:r>
      <w:r w:rsidRPr="002C7CD3">
        <w:rPr>
          <w:rStyle w:val="FootnoteReference"/>
          <w:sz w:val="22"/>
        </w:rPr>
        <w:footnoteReference w:id="14"/>
      </w:r>
      <w:r w:rsidRPr="002C7CD3">
        <w:rPr>
          <w:sz w:val="22"/>
          <w:vertAlign w:val="superscript"/>
        </w:rPr>
        <w:t>,</w:t>
      </w:r>
      <w:r w:rsidRPr="002C7CD3">
        <w:rPr>
          <w:rStyle w:val="FootnoteReference"/>
          <w:sz w:val="22"/>
        </w:rPr>
        <w:footnoteReference w:id="15"/>
      </w:r>
      <w:r w:rsidRPr="002C7CD3">
        <w:rPr>
          <w:sz w:val="22"/>
        </w:rPr>
        <w:t xml:space="preserve"> and statistical data about annual vehicle miles traveled reported by the Federal Highway Administration.</w:t>
      </w:r>
      <w:r w:rsidRPr="002C7CD3">
        <w:rPr>
          <w:rStyle w:val="FootnoteReference"/>
          <w:sz w:val="22"/>
        </w:rPr>
        <w:footnoteReference w:id="16"/>
      </w:r>
      <w:r w:rsidRPr="002C7CD3">
        <w:rPr>
          <w:sz w:val="22"/>
        </w:rPr>
        <w:t xml:space="preserve"> </w:t>
      </w:r>
    </w:p>
    <w:p w14:paraId="49FD5150" w14:textId="77777777" w:rsidR="00537B64" w:rsidRPr="002C7CD3" w:rsidRDefault="00537B64" w:rsidP="000B5BFC">
      <w:pPr>
        <w:spacing w:line="360" w:lineRule="auto"/>
        <w:jc w:val="center"/>
        <w:rPr>
          <w:sz w:val="22"/>
        </w:rPr>
      </w:pPr>
      <w:r w:rsidRPr="002C7CD3">
        <w:rPr>
          <w:noProof/>
          <w:sz w:val="22"/>
        </w:rPr>
        <w:drawing>
          <wp:inline distT="0" distB="0" distL="0" distR="0" wp14:anchorId="73FAC0A0" wp14:editId="75BCB2E8">
            <wp:extent cx="3724275" cy="1019175"/>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24275" cy="1019175"/>
                    </a:xfrm>
                    <a:prstGeom prst="rect">
                      <a:avLst/>
                    </a:prstGeom>
                    <a:noFill/>
                    <a:ln>
                      <a:noFill/>
                    </a:ln>
                  </pic:spPr>
                </pic:pic>
              </a:graphicData>
            </a:graphic>
          </wp:inline>
        </w:drawing>
      </w:r>
    </w:p>
    <w:p w14:paraId="4C034B79" w14:textId="0455365C" w:rsidR="00537B64" w:rsidRPr="002C7CD3" w:rsidRDefault="00537B64" w:rsidP="000B5BFC">
      <w:pPr>
        <w:spacing w:line="360" w:lineRule="auto"/>
        <w:rPr>
          <w:sz w:val="22"/>
        </w:rPr>
      </w:pPr>
      <w:r w:rsidRPr="002C7CD3">
        <w:rPr>
          <w:b/>
          <w:sz w:val="22"/>
        </w:rPr>
        <w:t>2.</w:t>
      </w:r>
      <w:r w:rsidRPr="002C7CD3">
        <w:rPr>
          <w:b/>
          <w:sz w:val="22"/>
        </w:rPr>
        <w:tab/>
        <w:t>Peak Charging Demand</w:t>
      </w:r>
      <w:r w:rsidRPr="002C7CD3">
        <w:rPr>
          <w:sz w:val="22"/>
        </w:rPr>
        <w:br/>
        <w:t xml:space="preserve">While sparse data is available to inform estimates of EV charging impact on peak demand, </w:t>
      </w:r>
      <w:r w:rsidR="003976EF">
        <w:rPr>
          <w:sz w:val="22"/>
        </w:rPr>
        <w:t>one estimate that has been made is provided in</w:t>
      </w:r>
      <w:r w:rsidRPr="002C7CD3">
        <w:rPr>
          <w:sz w:val="22"/>
        </w:rPr>
        <w:t xml:space="preserve"> ERCOT’s 2018 Long-Term System Assessment (LTSA).</w:t>
      </w:r>
      <w:r w:rsidRPr="002C7CD3">
        <w:rPr>
          <w:rStyle w:val="FootnoteReference"/>
          <w:sz w:val="22"/>
        </w:rPr>
        <w:footnoteReference w:id="17"/>
      </w:r>
      <w:r w:rsidRPr="002C7CD3">
        <w:rPr>
          <w:sz w:val="22"/>
        </w:rPr>
        <w:t xml:space="preserve"> </w:t>
      </w:r>
    </w:p>
    <w:p w14:paraId="35734463" w14:textId="5011B3F2" w:rsidR="00537B64" w:rsidRPr="002C7CD3" w:rsidRDefault="00914DE9" w:rsidP="000B5BFC">
      <w:pPr>
        <w:spacing w:line="360" w:lineRule="auto"/>
        <w:jc w:val="center"/>
        <w:rPr>
          <w:sz w:val="22"/>
        </w:rPr>
      </w:pPr>
      <w:r>
        <w:rPr>
          <w:noProof/>
          <w:sz w:val="22"/>
        </w:rPr>
        <w:lastRenderedPageBreak/>
        <w:drawing>
          <wp:inline distT="0" distB="0" distL="0" distR="0" wp14:anchorId="52311AA3" wp14:editId="120B6474">
            <wp:extent cx="3911801" cy="1187511"/>
            <wp:effectExtent l="0" t="0" r="0" b="0"/>
            <wp:docPr id="52" name="Picture 5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new table q3.png"/>
                    <pic:cNvPicPr/>
                  </pic:nvPicPr>
                  <pic:blipFill>
                    <a:blip r:embed="rId31">
                      <a:extLst>
                        <a:ext uri="{28A0092B-C50C-407E-A947-70E740481C1C}">
                          <a14:useLocalDpi xmlns:a14="http://schemas.microsoft.com/office/drawing/2010/main" val="0"/>
                        </a:ext>
                      </a:extLst>
                    </a:blip>
                    <a:stretch>
                      <a:fillRect/>
                    </a:stretch>
                  </pic:blipFill>
                  <pic:spPr>
                    <a:xfrm>
                      <a:off x="0" y="0"/>
                      <a:ext cx="3911801" cy="1187511"/>
                    </a:xfrm>
                    <a:prstGeom prst="rect">
                      <a:avLst/>
                    </a:prstGeom>
                  </pic:spPr>
                </pic:pic>
              </a:graphicData>
            </a:graphic>
          </wp:inline>
        </w:drawing>
      </w:r>
    </w:p>
    <w:p w14:paraId="2213653B" w14:textId="10D375CB" w:rsidR="00537B64" w:rsidRPr="002C7CD3" w:rsidRDefault="00537B64" w:rsidP="000B5BFC">
      <w:pPr>
        <w:spacing w:line="360" w:lineRule="auto"/>
        <w:rPr>
          <w:sz w:val="22"/>
        </w:rPr>
      </w:pPr>
      <w:r w:rsidRPr="002C7CD3">
        <w:rPr>
          <w:b/>
          <w:sz w:val="22"/>
        </w:rPr>
        <w:t>3.</w:t>
      </w:r>
      <w:r w:rsidRPr="002C7CD3">
        <w:rPr>
          <w:b/>
          <w:sz w:val="22"/>
        </w:rPr>
        <w:tab/>
        <w:t>Limitations of this Projection</w:t>
      </w:r>
    </w:p>
    <w:p w14:paraId="5D1F450D" w14:textId="77777777" w:rsidR="00537B64" w:rsidRPr="002C7CD3" w:rsidRDefault="00537B64" w:rsidP="000B5BFC">
      <w:pPr>
        <w:pStyle w:val="ListParagraph"/>
        <w:numPr>
          <w:ilvl w:val="0"/>
          <w:numId w:val="6"/>
        </w:numPr>
        <w:spacing w:after="160" w:line="360" w:lineRule="auto"/>
        <w:rPr>
          <w:sz w:val="22"/>
        </w:rPr>
      </w:pPr>
      <w:r w:rsidRPr="002C7CD3">
        <w:rPr>
          <w:sz w:val="22"/>
        </w:rPr>
        <w:t xml:space="preserve">Peak charging demand assumptions are drawn from an ERCOT scenario that has not been empirically validated. More data is necessary to understand how EV charging will impact peak in practice.  </w:t>
      </w:r>
    </w:p>
    <w:p w14:paraId="13A8DB8B" w14:textId="77777777" w:rsidR="00537B64" w:rsidRPr="002C7CD3" w:rsidRDefault="00537B64" w:rsidP="000B5BFC">
      <w:pPr>
        <w:pStyle w:val="ListParagraph"/>
        <w:numPr>
          <w:ilvl w:val="0"/>
          <w:numId w:val="6"/>
        </w:numPr>
        <w:spacing w:after="160" w:line="360" w:lineRule="auto"/>
        <w:rPr>
          <w:sz w:val="22"/>
        </w:rPr>
      </w:pPr>
      <w:r w:rsidRPr="002C7CD3">
        <w:rPr>
          <w:sz w:val="22"/>
        </w:rPr>
        <w:t>Peak charging is based on assumptions about customer behavior that do not account for the potential impact of incentives that might motivate greater off-peak charging behavior. Some recent analyses have shown this potential to be significant</w:t>
      </w:r>
      <w:r w:rsidRPr="002C7CD3">
        <w:rPr>
          <w:rStyle w:val="FootnoteReference"/>
          <w:sz w:val="22"/>
        </w:rPr>
        <w:footnoteReference w:id="18"/>
      </w:r>
      <w:r w:rsidRPr="002C7CD3">
        <w:rPr>
          <w:sz w:val="22"/>
        </w:rPr>
        <w:t xml:space="preserve"> with considerable economic value.</w:t>
      </w:r>
      <w:r w:rsidRPr="002C7CD3">
        <w:rPr>
          <w:rStyle w:val="FootnoteReference"/>
          <w:sz w:val="22"/>
        </w:rPr>
        <w:footnoteReference w:id="19"/>
      </w:r>
    </w:p>
    <w:p w14:paraId="6E00A7E3" w14:textId="354D7F31" w:rsidR="00537B64" w:rsidRPr="00914DE9" w:rsidRDefault="00537B64" w:rsidP="00914DE9">
      <w:pPr>
        <w:pStyle w:val="ListParagraph"/>
        <w:numPr>
          <w:ilvl w:val="0"/>
          <w:numId w:val="6"/>
        </w:numPr>
        <w:spacing w:after="160" w:line="360" w:lineRule="auto"/>
        <w:rPr>
          <w:sz w:val="22"/>
        </w:rPr>
      </w:pPr>
      <w:r w:rsidRPr="002C7CD3">
        <w:rPr>
          <w:sz w:val="22"/>
        </w:rPr>
        <w:t>Annual consumption estimates are based on national averages that do not account for regional differences in driving behaviors, climate, and topography.</w:t>
      </w:r>
    </w:p>
    <w:p w14:paraId="46B4FF05" w14:textId="19BF2637" w:rsidR="00537B64" w:rsidRPr="002C7CD3" w:rsidRDefault="00537B64" w:rsidP="000B5BFC">
      <w:pPr>
        <w:pStyle w:val="ListParagraph"/>
        <w:numPr>
          <w:ilvl w:val="0"/>
          <w:numId w:val="6"/>
        </w:numPr>
        <w:spacing w:after="160" w:line="360" w:lineRule="auto"/>
        <w:rPr>
          <w:sz w:val="22"/>
        </w:rPr>
      </w:pPr>
      <w:r w:rsidRPr="002C7CD3">
        <w:rPr>
          <w:sz w:val="22"/>
        </w:rPr>
        <w:t>Annual consumption estimates do not include the impact of charging losses due to resistance, which can be upwards of 10% for AC level 2 charging.</w:t>
      </w:r>
      <w:r w:rsidRPr="002C7CD3">
        <w:rPr>
          <w:rStyle w:val="FootnoteReference"/>
          <w:sz w:val="22"/>
        </w:rPr>
        <w:footnoteReference w:id="20"/>
      </w:r>
    </w:p>
    <w:p w14:paraId="4D981C95" w14:textId="5529DE2D" w:rsidR="00DD522C" w:rsidRPr="002C7CD3" w:rsidRDefault="00537B64" w:rsidP="000B5BFC">
      <w:pPr>
        <w:spacing w:line="360" w:lineRule="auto"/>
        <w:rPr>
          <w:rFonts w:eastAsiaTheme="minorEastAsia"/>
          <w:sz w:val="22"/>
        </w:rPr>
      </w:pPr>
      <w:r w:rsidRPr="002C7CD3">
        <w:rPr>
          <w:b/>
          <w:sz w:val="22"/>
        </w:rPr>
        <w:t>4.</w:t>
      </w:r>
      <w:r w:rsidRPr="002C7CD3">
        <w:rPr>
          <w:b/>
          <w:sz w:val="22"/>
        </w:rPr>
        <w:tab/>
        <w:t>Background Materials</w:t>
      </w:r>
      <w:r w:rsidRPr="002C7CD3">
        <w:rPr>
          <w:rFonts w:eastAsiaTheme="minorEastAsia"/>
          <w:sz w:val="22"/>
        </w:rPr>
        <w:t xml:space="preserve"> </w:t>
      </w:r>
    </w:p>
    <w:p w14:paraId="423D4827" w14:textId="30F1F798" w:rsidR="00DD522C" w:rsidRPr="002C7CD3" w:rsidRDefault="00106054" w:rsidP="000B5BFC">
      <w:pPr>
        <w:spacing w:line="360" w:lineRule="auto"/>
        <w:rPr>
          <w:rFonts w:eastAsiaTheme="minorEastAsia"/>
          <w:sz w:val="22"/>
        </w:rPr>
      </w:pPr>
      <w:r>
        <w:rPr>
          <w:rFonts w:eastAsiaTheme="minorEastAsia"/>
          <w:sz w:val="22"/>
        </w:rPr>
        <w:t>The chart</w:t>
      </w:r>
      <w:r w:rsidR="00DD522C" w:rsidRPr="002C7CD3">
        <w:rPr>
          <w:rFonts w:eastAsiaTheme="minorEastAsia"/>
          <w:sz w:val="22"/>
        </w:rPr>
        <w:t xml:space="preserve"> below provide</w:t>
      </w:r>
      <w:r>
        <w:rPr>
          <w:rFonts w:eastAsiaTheme="minorEastAsia"/>
          <w:sz w:val="22"/>
        </w:rPr>
        <w:t>s</w:t>
      </w:r>
      <w:r w:rsidR="00DD522C" w:rsidRPr="002C7CD3">
        <w:rPr>
          <w:rFonts w:eastAsiaTheme="minorEastAsia"/>
          <w:sz w:val="22"/>
        </w:rPr>
        <w:t xml:space="preserve"> more granular articulation of projections</w:t>
      </w:r>
      <w:r>
        <w:rPr>
          <w:rFonts w:eastAsiaTheme="minorEastAsia"/>
          <w:sz w:val="22"/>
        </w:rPr>
        <w:t>.</w:t>
      </w:r>
      <w:r w:rsidR="00DD522C" w:rsidRPr="002C7CD3">
        <w:rPr>
          <w:rFonts w:eastAsiaTheme="minorEastAsia"/>
          <w:sz w:val="22"/>
        </w:rPr>
        <w:t xml:space="preserve"> </w:t>
      </w:r>
    </w:p>
    <w:p w14:paraId="655F6A5F" w14:textId="08205DEA" w:rsidR="00537B64" w:rsidRPr="00E300F4" w:rsidRDefault="00DD522C" w:rsidP="00E300F4">
      <w:pPr>
        <w:spacing w:line="360" w:lineRule="auto"/>
        <w:rPr>
          <w:rFonts w:eastAsiaTheme="minorEastAsia"/>
        </w:rPr>
      </w:pPr>
      <w:r w:rsidRPr="001A25F5">
        <w:rPr>
          <w:noProof/>
        </w:rPr>
        <w:lastRenderedPageBreak/>
        <w:drawing>
          <wp:inline distT="0" distB="0" distL="0" distR="0" wp14:anchorId="61FBF3C9" wp14:editId="19C458D0">
            <wp:extent cx="8225205" cy="5407018"/>
            <wp:effectExtent l="0" t="0" r="4127" b="4128"/>
            <wp:docPr id="35" name="Picture 1">
              <a:extLst xmlns:a="http://schemas.openxmlformats.org/drawingml/2006/main">
                <a:ext uri="{FF2B5EF4-FFF2-40B4-BE49-F238E27FC236}">
                  <a16:creationId xmlns:a16="http://schemas.microsoft.com/office/drawing/2014/main" id="{C14C4EFF-969E-46F6-8527-C1A8DF8724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C14C4EFF-969E-46F6-8527-C1A8DF872467}"/>
                        </a:ext>
                      </a:extLst>
                    </pic:cNvPr>
                    <pic:cNvPicPr>
                      <a:picLocks noChangeAspect="1"/>
                    </pic:cNvPicPr>
                  </pic:nvPicPr>
                  <pic:blipFill>
                    <a:blip r:embed="rId32"/>
                    <a:stretch>
                      <a:fillRect/>
                    </a:stretch>
                  </pic:blipFill>
                  <pic:spPr>
                    <a:xfrm rot="16200000">
                      <a:off x="0" y="0"/>
                      <a:ext cx="8242246" cy="5418220"/>
                    </a:xfrm>
                    <a:prstGeom prst="rect">
                      <a:avLst/>
                    </a:prstGeom>
                  </pic:spPr>
                </pic:pic>
              </a:graphicData>
            </a:graphic>
          </wp:inline>
        </w:drawing>
      </w:r>
    </w:p>
    <w:p w14:paraId="647564D7" w14:textId="5CBF93B4" w:rsidR="00491224" w:rsidRPr="00E300F4" w:rsidRDefault="00491224" w:rsidP="00E300F4">
      <w:pPr>
        <w:spacing w:after="160" w:line="360" w:lineRule="auto"/>
        <w:ind w:firstLine="0"/>
        <w:rPr>
          <w:rFonts w:eastAsiaTheme="minorEastAsia"/>
        </w:rPr>
      </w:pPr>
      <w:r>
        <w:rPr>
          <w:rFonts w:eastAsiaTheme="minorEastAsia"/>
        </w:rPr>
        <w:br w:type="page"/>
      </w:r>
      <w:r w:rsidR="00262991" w:rsidRPr="002C7CD3">
        <w:rPr>
          <w:rFonts w:cs="Times New Roman"/>
          <w:b/>
          <w:bCs/>
          <w:sz w:val="22"/>
        </w:rPr>
        <w:lastRenderedPageBreak/>
        <w:t>QUESTION</w:t>
      </w:r>
      <w:r w:rsidRPr="002C7CD3">
        <w:rPr>
          <w:rFonts w:cs="Times New Roman"/>
          <w:b/>
          <w:bCs/>
          <w:sz w:val="22"/>
        </w:rPr>
        <w:t xml:space="preserve"> #3</w:t>
      </w:r>
    </w:p>
    <w:p w14:paraId="304C46A6" w14:textId="2A0A4F1D" w:rsidR="00491224" w:rsidRPr="002C7CD3" w:rsidRDefault="00491224" w:rsidP="00FE0E92">
      <w:pPr>
        <w:spacing w:line="240" w:lineRule="auto"/>
        <w:ind w:firstLine="0"/>
        <w:jc w:val="both"/>
        <w:rPr>
          <w:rFonts w:cs="Times New Roman"/>
          <w:b/>
          <w:bCs/>
          <w:sz w:val="22"/>
        </w:rPr>
      </w:pPr>
      <w:r w:rsidRPr="002C7CD3">
        <w:rPr>
          <w:rFonts w:cs="Times New Roman"/>
          <w:b/>
          <w:bCs/>
          <w:sz w:val="22"/>
        </w:rPr>
        <w:t>Please identify any anticipated load “hot spots” in the state for electric vehicle charging. Please specify whether these hot spots are expected from personal, commercial short-haul, or commercial long-haul electric vehicle deployment or charging.</w:t>
      </w:r>
    </w:p>
    <w:p w14:paraId="6889D497" w14:textId="77777777" w:rsidR="00491224" w:rsidRPr="002C7CD3" w:rsidRDefault="00491224" w:rsidP="000B5BFC">
      <w:pPr>
        <w:spacing w:line="360" w:lineRule="auto"/>
        <w:ind w:firstLine="0"/>
        <w:jc w:val="both"/>
        <w:rPr>
          <w:rFonts w:cs="Times New Roman"/>
          <w:b/>
          <w:bCs/>
          <w:sz w:val="22"/>
        </w:rPr>
      </w:pPr>
    </w:p>
    <w:p w14:paraId="793F194E" w14:textId="77777777" w:rsidR="00491224" w:rsidRPr="002C7CD3" w:rsidRDefault="00491224" w:rsidP="000B5BFC">
      <w:pPr>
        <w:spacing w:line="360" w:lineRule="auto"/>
        <w:jc w:val="both"/>
        <w:rPr>
          <w:rFonts w:cs="Times New Roman"/>
          <w:sz w:val="22"/>
        </w:rPr>
      </w:pPr>
      <w:r w:rsidRPr="002C7CD3">
        <w:rPr>
          <w:rFonts w:cs="Times New Roman"/>
          <w:sz w:val="22"/>
        </w:rPr>
        <w:t>A hot spot can be defined as a concentration of EV charging loads of significant coincident demand that will require a distribution upgrade and could require a transmission system upgrade.</w:t>
      </w:r>
    </w:p>
    <w:p w14:paraId="04BABEB9" w14:textId="77777777" w:rsidR="00491224" w:rsidRPr="002C7CD3" w:rsidRDefault="00491224" w:rsidP="000B5BFC">
      <w:pPr>
        <w:spacing w:line="360" w:lineRule="auto"/>
        <w:jc w:val="both"/>
        <w:rPr>
          <w:rFonts w:cs="Times New Roman"/>
          <w:b/>
          <w:bCs/>
          <w:sz w:val="22"/>
        </w:rPr>
      </w:pPr>
      <w:r w:rsidRPr="002C7CD3">
        <w:rPr>
          <w:rFonts w:cs="Times New Roman"/>
          <w:sz w:val="22"/>
        </w:rPr>
        <w:t>There are many types of hot spots that could occur where a large concentration of EVs are plugged in and charging at one time and exceed the capacity of the circuits.</w:t>
      </w:r>
      <w:r w:rsidRPr="002C7CD3">
        <w:rPr>
          <w:rFonts w:cs="Times New Roman"/>
          <w:i/>
          <w:iCs/>
          <w:kern w:val="36"/>
          <w:sz w:val="22"/>
        </w:rPr>
        <w:t xml:space="preserve"> </w:t>
      </w:r>
      <w:r w:rsidRPr="002C7CD3">
        <w:rPr>
          <w:rFonts w:cs="Times New Roman"/>
          <w:kern w:val="36"/>
          <w:sz w:val="22"/>
        </w:rPr>
        <w:t>There are thousands of potential hot spots in Texas.</w:t>
      </w:r>
    </w:p>
    <w:p w14:paraId="0B337C94" w14:textId="77777777" w:rsidR="00491224" w:rsidRPr="002C7CD3" w:rsidRDefault="00491224" w:rsidP="000B5BFC">
      <w:pPr>
        <w:spacing w:line="360" w:lineRule="auto"/>
        <w:rPr>
          <w:rFonts w:cs="Times New Roman"/>
          <w:sz w:val="22"/>
        </w:rPr>
      </w:pPr>
      <w:r w:rsidRPr="002C7CD3">
        <w:rPr>
          <w:rFonts w:cs="Times New Roman"/>
          <w:sz w:val="22"/>
        </w:rPr>
        <w:t>Hot spots arising from commercial electric vehicle deployment include:</w:t>
      </w:r>
    </w:p>
    <w:p w14:paraId="513EE42D" w14:textId="77777777" w:rsidR="00491224" w:rsidRPr="002C7CD3" w:rsidRDefault="00491224" w:rsidP="000B5BFC">
      <w:pPr>
        <w:pStyle w:val="ListParagraph"/>
        <w:numPr>
          <w:ilvl w:val="0"/>
          <w:numId w:val="9"/>
        </w:numPr>
        <w:spacing w:line="360" w:lineRule="auto"/>
        <w:rPr>
          <w:rFonts w:cs="Times New Roman"/>
          <w:sz w:val="22"/>
        </w:rPr>
      </w:pPr>
      <w:r w:rsidRPr="002C7CD3">
        <w:rPr>
          <w:rFonts w:cs="Times New Roman"/>
          <w:sz w:val="22"/>
        </w:rPr>
        <w:t>Distribution centers</w:t>
      </w:r>
    </w:p>
    <w:p w14:paraId="74C464D7" w14:textId="77777777" w:rsidR="00491224" w:rsidRPr="002C7CD3" w:rsidRDefault="00491224" w:rsidP="000B5BFC">
      <w:pPr>
        <w:pStyle w:val="ListParagraph"/>
        <w:numPr>
          <w:ilvl w:val="0"/>
          <w:numId w:val="9"/>
        </w:numPr>
        <w:spacing w:line="360" w:lineRule="auto"/>
        <w:rPr>
          <w:rFonts w:cs="Times New Roman"/>
          <w:sz w:val="22"/>
        </w:rPr>
      </w:pPr>
      <w:r w:rsidRPr="002C7CD3">
        <w:rPr>
          <w:rFonts w:cs="Times New Roman"/>
          <w:sz w:val="22"/>
        </w:rPr>
        <w:t>Airports</w:t>
      </w:r>
    </w:p>
    <w:p w14:paraId="2D5D8BC9" w14:textId="77777777" w:rsidR="00491224" w:rsidRPr="002C7CD3" w:rsidRDefault="00491224" w:rsidP="000B5BFC">
      <w:pPr>
        <w:pStyle w:val="ListParagraph"/>
        <w:numPr>
          <w:ilvl w:val="0"/>
          <w:numId w:val="9"/>
        </w:numPr>
        <w:spacing w:line="360" w:lineRule="auto"/>
        <w:rPr>
          <w:rFonts w:cs="Times New Roman"/>
          <w:sz w:val="22"/>
        </w:rPr>
      </w:pPr>
      <w:r w:rsidRPr="002C7CD3">
        <w:rPr>
          <w:rFonts w:cs="Times New Roman"/>
          <w:sz w:val="22"/>
        </w:rPr>
        <w:t>Rail yards</w:t>
      </w:r>
    </w:p>
    <w:p w14:paraId="78C86546" w14:textId="77777777" w:rsidR="00491224" w:rsidRPr="002C7CD3" w:rsidRDefault="00491224" w:rsidP="000B5BFC">
      <w:pPr>
        <w:pStyle w:val="ListParagraph"/>
        <w:numPr>
          <w:ilvl w:val="0"/>
          <w:numId w:val="9"/>
        </w:numPr>
        <w:spacing w:line="360" w:lineRule="auto"/>
        <w:rPr>
          <w:rFonts w:cs="Times New Roman"/>
          <w:sz w:val="22"/>
        </w:rPr>
      </w:pPr>
      <w:r w:rsidRPr="002C7CD3">
        <w:rPr>
          <w:rFonts w:cs="Times New Roman"/>
          <w:sz w:val="22"/>
        </w:rPr>
        <w:t>Ports</w:t>
      </w:r>
    </w:p>
    <w:p w14:paraId="3AE224AB" w14:textId="77777777" w:rsidR="00491224" w:rsidRPr="002C7CD3" w:rsidRDefault="00491224" w:rsidP="000B5BFC">
      <w:pPr>
        <w:pStyle w:val="ListParagraph"/>
        <w:numPr>
          <w:ilvl w:val="0"/>
          <w:numId w:val="9"/>
        </w:numPr>
        <w:spacing w:line="360" w:lineRule="auto"/>
        <w:rPr>
          <w:rFonts w:cs="Times New Roman"/>
          <w:sz w:val="22"/>
        </w:rPr>
      </w:pPr>
      <w:r w:rsidRPr="002C7CD3">
        <w:rPr>
          <w:rFonts w:cs="Times New Roman"/>
          <w:sz w:val="22"/>
        </w:rPr>
        <w:t>Bus hubs</w:t>
      </w:r>
    </w:p>
    <w:p w14:paraId="10A57FE0" w14:textId="77777777" w:rsidR="00491224" w:rsidRPr="002C7CD3" w:rsidRDefault="00491224" w:rsidP="000B5BFC">
      <w:pPr>
        <w:pStyle w:val="ListParagraph"/>
        <w:numPr>
          <w:ilvl w:val="0"/>
          <w:numId w:val="9"/>
        </w:numPr>
        <w:spacing w:line="360" w:lineRule="auto"/>
        <w:rPr>
          <w:rFonts w:cs="Times New Roman"/>
          <w:sz w:val="22"/>
        </w:rPr>
      </w:pPr>
      <w:r w:rsidRPr="002C7CD3">
        <w:rPr>
          <w:rFonts w:cs="Times New Roman"/>
          <w:sz w:val="22"/>
        </w:rPr>
        <w:t>Trucks stops</w:t>
      </w:r>
    </w:p>
    <w:p w14:paraId="3827805A" w14:textId="77777777" w:rsidR="00491224" w:rsidRPr="002C7CD3" w:rsidRDefault="00491224" w:rsidP="000B5BFC">
      <w:pPr>
        <w:pStyle w:val="ListParagraph"/>
        <w:numPr>
          <w:ilvl w:val="0"/>
          <w:numId w:val="9"/>
        </w:numPr>
        <w:spacing w:line="360" w:lineRule="auto"/>
        <w:rPr>
          <w:rFonts w:cs="Times New Roman"/>
          <w:sz w:val="22"/>
        </w:rPr>
      </w:pPr>
      <w:r w:rsidRPr="002C7CD3">
        <w:rPr>
          <w:rFonts w:cs="Times New Roman"/>
          <w:sz w:val="22"/>
        </w:rPr>
        <w:t>Highway rest areas</w:t>
      </w:r>
    </w:p>
    <w:p w14:paraId="5E73DD93" w14:textId="77777777" w:rsidR="00491224" w:rsidRPr="002C7CD3" w:rsidRDefault="00491224" w:rsidP="000B5BFC">
      <w:pPr>
        <w:pStyle w:val="ListParagraph"/>
        <w:numPr>
          <w:ilvl w:val="0"/>
          <w:numId w:val="9"/>
        </w:numPr>
        <w:spacing w:line="360" w:lineRule="auto"/>
        <w:rPr>
          <w:rFonts w:cs="Times New Roman"/>
          <w:sz w:val="22"/>
        </w:rPr>
      </w:pPr>
      <w:r w:rsidRPr="002C7CD3">
        <w:rPr>
          <w:rFonts w:cs="Times New Roman"/>
          <w:sz w:val="22"/>
        </w:rPr>
        <w:t>Commercial centers with multiple “load in” and charging facilities E.g. big box stores, large grocery stores and super centers</w:t>
      </w:r>
    </w:p>
    <w:p w14:paraId="5272DFDD" w14:textId="77777777" w:rsidR="00491224" w:rsidRPr="002C7CD3" w:rsidRDefault="00491224" w:rsidP="000B5BFC">
      <w:pPr>
        <w:spacing w:line="360" w:lineRule="auto"/>
        <w:rPr>
          <w:rFonts w:cs="Times New Roman"/>
          <w:sz w:val="22"/>
        </w:rPr>
      </w:pPr>
    </w:p>
    <w:p w14:paraId="1E084B4A" w14:textId="5A28BEEA" w:rsidR="00491224" w:rsidRPr="002C7CD3" w:rsidRDefault="00491224" w:rsidP="000B5BFC">
      <w:pPr>
        <w:spacing w:line="360" w:lineRule="auto"/>
        <w:rPr>
          <w:rFonts w:cs="Times New Roman"/>
          <w:sz w:val="22"/>
        </w:rPr>
      </w:pPr>
      <w:r w:rsidRPr="002C7CD3">
        <w:rPr>
          <w:rFonts w:cs="Times New Roman"/>
          <w:sz w:val="22"/>
        </w:rPr>
        <w:t xml:space="preserve">Hot spots arising from personal vehicles could arise in </w:t>
      </w:r>
      <w:r w:rsidR="00A646C6" w:rsidRPr="002C7CD3">
        <w:rPr>
          <w:rFonts w:cs="Times New Roman"/>
          <w:sz w:val="22"/>
        </w:rPr>
        <w:t>four</w:t>
      </w:r>
      <w:r w:rsidRPr="002C7CD3">
        <w:rPr>
          <w:rFonts w:cs="Times New Roman"/>
          <w:sz w:val="22"/>
        </w:rPr>
        <w:t xml:space="preserve"> </w:t>
      </w:r>
      <w:r w:rsidR="003976EF">
        <w:rPr>
          <w:rFonts w:cs="Times New Roman"/>
          <w:sz w:val="22"/>
        </w:rPr>
        <w:t xml:space="preserve">types of </w:t>
      </w:r>
      <w:r w:rsidRPr="002C7CD3">
        <w:rPr>
          <w:rFonts w:cs="Times New Roman"/>
          <w:sz w:val="22"/>
        </w:rPr>
        <w:t>location</w:t>
      </w:r>
      <w:r w:rsidR="003976EF">
        <w:rPr>
          <w:rFonts w:cs="Times New Roman"/>
          <w:sz w:val="22"/>
        </w:rPr>
        <w:t>s</w:t>
      </w:r>
      <w:r w:rsidRPr="002C7CD3">
        <w:rPr>
          <w:rFonts w:cs="Times New Roman"/>
          <w:sz w:val="22"/>
        </w:rPr>
        <w:t>:</w:t>
      </w:r>
    </w:p>
    <w:p w14:paraId="3F3D052A" w14:textId="6E00525B" w:rsidR="00491224" w:rsidRPr="002C7CD3" w:rsidRDefault="00491224" w:rsidP="000B5BFC">
      <w:pPr>
        <w:pStyle w:val="ListParagraph"/>
        <w:numPr>
          <w:ilvl w:val="0"/>
          <w:numId w:val="9"/>
        </w:numPr>
        <w:spacing w:line="360" w:lineRule="auto"/>
        <w:rPr>
          <w:rFonts w:cs="Times New Roman"/>
          <w:sz w:val="22"/>
        </w:rPr>
      </w:pPr>
      <w:r w:rsidRPr="002C7CD3">
        <w:rPr>
          <w:rFonts w:cs="Times New Roman"/>
          <w:sz w:val="22"/>
        </w:rPr>
        <w:t>Parking garages</w:t>
      </w:r>
    </w:p>
    <w:p w14:paraId="22FBE757" w14:textId="77777777" w:rsidR="00491224" w:rsidRPr="002C7CD3" w:rsidRDefault="00491224" w:rsidP="000B5BFC">
      <w:pPr>
        <w:pStyle w:val="ListParagraph"/>
        <w:numPr>
          <w:ilvl w:val="0"/>
          <w:numId w:val="9"/>
        </w:numPr>
        <w:spacing w:line="360" w:lineRule="auto"/>
        <w:rPr>
          <w:rFonts w:cs="Times New Roman"/>
          <w:sz w:val="22"/>
        </w:rPr>
      </w:pPr>
      <w:r w:rsidRPr="002C7CD3">
        <w:rPr>
          <w:rFonts w:cs="Times New Roman"/>
          <w:sz w:val="22"/>
        </w:rPr>
        <w:t>Large multifamily residential development</w:t>
      </w:r>
    </w:p>
    <w:p w14:paraId="34E6A83B" w14:textId="54EC3167" w:rsidR="00491224" w:rsidRPr="002C7CD3" w:rsidRDefault="00491224" w:rsidP="000B5BFC">
      <w:pPr>
        <w:pStyle w:val="ListParagraph"/>
        <w:numPr>
          <w:ilvl w:val="0"/>
          <w:numId w:val="9"/>
        </w:numPr>
        <w:spacing w:line="360" w:lineRule="auto"/>
        <w:rPr>
          <w:rFonts w:cs="Times New Roman"/>
          <w:sz w:val="22"/>
        </w:rPr>
      </w:pPr>
      <w:r w:rsidRPr="002C7CD3">
        <w:rPr>
          <w:rFonts w:cs="Times New Roman"/>
          <w:sz w:val="22"/>
        </w:rPr>
        <w:t>Commercial centers drawing large numbers of customers</w:t>
      </w:r>
    </w:p>
    <w:p w14:paraId="04301F41" w14:textId="754F4E5E" w:rsidR="00347078" w:rsidRPr="002C7CD3" w:rsidRDefault="00347078" w:rsidP="000B5BFC">
      <w:pPr>
        <w:pStyle w:val="ListParagraph"/>
        <w:numPr>
          <w:ilvl w:val="0"/>
          <w:numId w:val="9"/>
        </w:numPr>
        <w:spacing w:line="360" w:lineRule="auto"/>
        <w:rPr>
          <w:rFonts w:cs="Times New Roman"/>
          <w:sz w:val="22"/>
        </w:rPr>
      </w:pPr>
      <w:r w:rsidRPr="002C7CD3">
        <w:rPr>
          <w:rFonts w:cs="Times New Roman"/>
          <w:sz w:val="22"/>
        </w:rPr>
        <w:t>Large highway fueling stations</w:t>
      </w:r>
    </w:p>
    <w:p w14:paraId="0FD0BF0C" w14:textId="071AFBFC" w:rsidR="00491224" w:rsidRPr="002C7CD3" w:rsidRDefault="00491224" w:rsidP="000B5BFC">
      <w:pPr>
        <w:spacing w:before="240" w:line="360" w:lineRule="auto"/>
        <w:jc w:val="both"/>
        <w:rPr>
          <w:rFonts w:cs="Times New Roman"/>
          <w:sz w:val="22"/>
        </w:rPr>
      </w:pPr>
      <w:r w:rsidRPr="002C7CD3">
        <w:rPr>
          <w:rFonts w:cs="Times New Roman"/>
          <w:sz w:val="22"/>
        </w:rPr>
        <w:t>Specifically, for the Dallas/Fort Worth area, Oncor obtained information on the concentration of distribution centers and truck depots from FleetSeek.com. They obtained information on school bus barn locations from the Texas Department of Education. The following slides were provided by Oncor at the Texas Energy Summit. They have chosen to submit their own comments in this docket and are not participating in the development of TxETRA’s comments. </w:t>
      </w:r>
    </w:p>
    <w:p w14:paraId="563DDA24" w14:textId="77777777" w:rsidR="00491224" w:rsidRPr="002C7CD3" w:rsidRDefault="00491224" w:rsidP="000B5BFC">
      <w:pPr>
        <w:spacing w:line="360" w:lineRule="auto"/>
        <w:rPr>
          <w:rFonts w:cs="Times New Roman"/>
          <w:sz w:val="22"/>
        </w:rPr>
      </w:pPr>
    </w:p>
    <w:p w14:paraId="1DE68C6B" w14:textId="77777777" w:rsidR="00491224" w:rsidRPr="002C7CD3" w:rsidRDefault="00491224" w:rsidP="000B5BFC">
      <w:pPr>
        <w:spacing w:before="240" w:after="240" w:line="360" w:lineRule="auto"/>
        <w:jc w:val="center"/>
        <w:outlineLvl w:val="0"/>
        <w:rPr>
          <w:rFonts w:eastAsia="Times New Roman" w:cs="Times New Roman"/>
          <w:b/>
          <w:bCs/>
          <w:kern w:val="36"/>
          <w:sz w:val="22"/>
        </w:rPr>
      </w:pPr>
      <w:r w:rsidRPr="002C7CD3">
        <w:rPr>
          <w:rFonts w:cs="Times New Roman"/>
          <w:noProof/>
          <w:sz w:val="22"/>
        </w:rPr>
        <w:lastRenderedPageBreak/>
        <w:drawing>
          <wp:inline distT="0" distB="0" distL="0" distR="0" wp14:anchorId="33E977E2" wp14:editId="1EA8DC77">
            <wp:extent cx="4572396" cy="342929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72396" cy="3429297"/>
                    </a:xfrm>
                    <a:prstGeom prst="rect">
                      <a:avLst/>
                    </a:prstGeom>
                  </pic:spPr>
                </pic:pic>
              </a:graphicData>
            </a:graphic>
          </wp:inline>
        </w:drawing>
      </w:r>
    </w:p>
    <w:p w14:paraId="30A5A995" w14:textId="77777777" w:rsidR="00491224" w:rsidRPr="002C7CD3" w:rsidRDefault="00491224" w:rsidP="000B5BFC">
      <w:pPr>
        <w:spacing w:before="240" w:after="240" w:line="360" w:lineRule="auto"/>
        <w:jc w:val="center"/>
        <w:outlineLvl w:val="0"/>
        <w:rPr>
          <w:rFonts w:eastAsia="Times New Roman" w:cs="Times New Roman"/>
          <w:b/>
          <w:bCs/>
          <w:kern w:val="36"/>
          <w:sz w:val="22"/>
        </w:rPr>
      </w:pPr>
      <w:r w:rsidRPr="002C7CD3">
        <w:rPr>
          <w:rFonts w:cs="Times New Roman"/>
          <w:noProof/>
          <w:sz w:val="22"/>
        </w:rPr>
        <w:drawing>
          <wp:inline distT="0" distB="0" distL="0" distR="0" wp14:anchorId="4F1E8005" wp14:editId="602221E5">
            <wp:extent cx="4572396" cy="3429297"/>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572396" cy="3429297"/>
                    </a:xfrm>
                    <a:prstGeom prst="rect">
                      <a:avLst/>
                    </a:prstGeom>
                  </pic:spPr>
                </pic:pic>
              </a:graphicData>
            </a:graphic>
          </wp:inline>
        </w:drawing>
      </w:r>
    </w:p>
    <w:p w14:paraId="5E678242" w14:textId="77777777" w:rsidR="00491224" w:rsidRPr="002C7CD3" w:rsidRDefault="00491224" w:rsidP="000B5BFC">
      <w:pPr>
        <w:spacing w:before="240" w:after="240" w:line="360" w:lineRule="auto"/>
        <w:jc w:val="center"/>
        <w:outlineLvl w:val="0"/>
        <w:rPr>
          <w:rFonts w:eastAsia="Times New Roman" w:cs="Times New Roman"/>
          <w:b/>
          <w:bCs/>
          <w:kern w:val="36"/>
          <w:sz w:val="22"/>
        </w:rPr>
      </w:pPr>
      <w:r w:rsidRPr="002C7CD3">
        <w:rPr>
          <w:rFonts w:cs="Times New Roman"/>
          <w:noProof/>
          <w:sz w:val="22"/>
        </w:rPr>
        <w:lastRenderedPageBreak/>
        <w:drawing>
          <wp:inline distT="0" distB="0" distL="0" distR="0" wp14:anchorId="187B457B" wp14:editId="4C2539C1">
            <wp:extent cx="4572396" cy="3429297"/>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572396" cy="3429297"/>
                    </a:xfrm>
                    <a:prstGeom prst="rect">
                      <a:avLst/>
                    </a:prstGeom>
                  </pic:spPr>
                </pic:pic>
              </a:graphicData>
            </a:graphic>
          </wp:inline>
        </w:drawing>
      </w:r>
    </w:p>
    <w:p w14:paraId="43FD029B" w14:textId="77777777" w:rsidR="00491224" w:rsidRPr="002C7CD3" w:rsidRDefault="00491224" w:rsidP="000B5BFC">
      <w:pPr>
        <w:spacing w:line="360" w:lineRule="auto"/>
        <w:rPr>
          <w:rFonts w:cs="Times New Roman"/>
          <w:sz w:val="22"/>
        </w:rPr>
      </w:pPr>
    </w:p>
    <w:p w14:paraId="03272432" w14:textId="6298C0C4" w:rsidR="00135F7C" w:rsidRPr="00247916" w:rsidRDefault="00491224" w:rsidP="003976EF">
      <w:pPr>
        <w:spacing w:line="360" w:lineRule="auto"/>
        <w:jc w:val="both"/>
        <w:rPr>
          <w:rFonts w:cs="Times New Roman"/>
          <w:sz w:val="22"/>
        </w:rPr>
      </w:pPr>
      <w:r w:rsidRPr="002C7CD3">
        <w:rPr>
          <w:rFonts w:cs="Times New Roman"/>
          <w:sz w:val="22"/>
        </w:rPr>
        <w:t>Our members feel that this is not an issue that requires any regulatory action at</w:t>
      </w:r>
      <w:r w:rsidR="005702B5">
        <w:rPr>
          <w:rFonts w:cs="Times New Roman"/>
          <w:sz w:val="22"/>
        </w:rPr>
        <w:t xml:space="preserve"> </w:t>
      </w:r>
      <w:r w:rsidRPr="002C7CD3">
        <w:rPr>
          <w:rFonts w:cs="Times New Roman"/>
          <w:sz w:val="22"/>
        </w:rPr>
        <w:t>this time. If a company asks for a service upgrade, the Transmission and Distribution Service Provider (TDSP) will analyze the adequacy of the service and upgrade it as needed.  The TDSP will take the growth in anticipated load from charging clusters into consideration as they do their 5-year transmission and distribution capit</w:t>
      </w:r>
      <w:r w:rsidR="00515F18">
        <w:rPr>
          <w:rFonts w:cs="Times New Roman"/>
          <w:sz w:val="22"/>
        </w:rPr>
        <w:t>a</w:t>
      </w:r>
      <w:r w:rsidRPr="002C7CD3">
        <w:rPr>
          <w:rFonts w:cs="Times New Roman"/>
          <w:sz w:val="22"/>
        </w:rPr>
        <w:t xml:space="preserve">l plan and will adjust as they see hot spots emerging. </w:t>
      </w:r>
      <w:r w:rsidR="00247916">
        <w:rPr>
          <w:rFonts w:cs="Times New Roman"/>
          <w:sz w:val="22"/>
        </w:rPr>
        <w:t xml:space="preserve">In </w:t>
      </w:r>
      <w:r w:rsidR="00247916" w:rsidRPr="00C27ACB">
        <w:rPr>
          <w:rFonts w:cs="Times New Roman"/>
          <w:sz w:val="22"/>
        </w:rPr>
        <w:t xml:space="preserve">addition, </w:t>
      </w:r>
      <w:r w:rsidR="00247916" w:rsidRPr="00C27ACB">
        <w:rPr>
          <w:rFonts w:cs="Times New Roman"/>
          <w:spacing w:val="3"/>
          <w:sz w:val="22"/>
        </w:rPr>
        <w:t xml:space="preserve">our members agreed that having time of use pricing is a critical tool to </w:t>
      </w:r>
      <w:r w:rsidR="005702B5" w:rsidRPr="00C27ACB">
        <w:rPr>
          <w:rFonts w:cs="Times New Roman"/>
          <w:spacing w:val="3"/>
          <w:sz w:val="22"/>
        </w:rPr>
        <w:t>shift</w:t>
      </w:r>
      <w:r w:rsidR="00247916" w:rsidRPr="00C27ACB">
        <w:rPr>
          <w:rFonts w:cs="Times New Roman"/>
          <w:spacing w:val="3"/>
          <w:sz w:val="22"/>
        </w:rPr>
        <w:t xml:space="preserve"> demand</w:t>
      </w:r>
      <w:r w:rsidR="00247916" w:rsidRPr="00247916">
        <w:rPr>
          <w:rFonts w:cs="Times New Roman"/>
          <w:color w:val="3C4043"/>
          <w:spacing w:val="3"/>
          <w:sz w:val="22"/>
        </w:rPr>
        <w:t>.</w:t>
      </w:r>
      <w:r w:rsidR="00247916" w:rsidRPr="00247916">
        <w:rPr>
          <w:rFonts w:cs="Times New Roman"/>
          <w:sz w:val="22"/>
        </w:rPr>
        <w:t>  </w:t>
      </w:r>
    </w:p>
    <w:p w14:paraId="1FB853F4" w14:textId="77777777" w:rsidR="00135F7C" w:rsidRDefault="00135F7C" w:rsidP="000B5BFC">
      <w:pPr>
        <w:spacing w:after="160" w:line="360" w:lineRule="auto"/>
        <w:ind w:firstLine="0"/>
        <w:rPr>
          <w:rFonts w:cs="Times New Roman"/>
          <w:szCs w:val="24"/>
        </w:rPr>
      </w:pPr>
      <w:r>
        <w:rPr>
          <w:rFonts w:cs="Times New Roman"/>
          <w:szCs w:val="24"/>
        </w:rPr>
        <w:br w:type="page"/>
      </w:r>
    </w:p>
    <w:p w14:paraId="26DBD4C7" w14:textId="5DE386C1" w:rsidR="00FE0E92" w:rsidRPr="002C7CD3" w:rsidRDefault="00135F7C" w:rsidP="00FE0E92">
      <w:pPr>
        <w:pStyle w:val="Normal1"/>
        <w:spacing w:line="360" w:lineRule="auto"/>
        <w:rPr>
          <w:rFonts w:ascii="Times New Roman" w:hAnsi="Times New Roman" w:cs="Times New Roman"/>
          <w:b/>
          <w:bCs/>
        </w:rPr>
      </w:pPr>
      <w:r w:rsidRPr="002C7CD3">
        <w:rPr>
          <w:rFonts w:ascii="Times New Roman" w:hAnsi="Times New Roman" w:cs="Times New Roman"/>
          <w:b/>
          <w:bCs/>
        </w:rPr>
        <w:lastRenderedPageBreak/>
        <w:t xml:space="preserve">QUESTION #4: </w:t>
      </w:r>
    </w:p>
    <w:p w14:paraId="447A0448" w14:textId="77777777" w:rsidR="00135F7C" w:rsidRPr="002C7CD3" w:rsidRDefault="00135F7C" w:rsidP="00FE0E92">
      <w:pPr>
        <w:pStyle w:val="Normal1"/>
        <w:spacing w:line="240" w:lineRule="auto"/>
        <w:rPr>
          <w:rFonts w:ascii="Times New Roman" w:hAnsi="Times New Roman" w:cs="Times New Roman"/>
          <w:b/>
          <w:bCs/>
        </w:rPr>
      </w:pPr>
      <w:r w:rsidRPr="002C7CD3">
        <w:rPr>
          <w:rFonts w:ascii="Times New Roman" w:hAnsi="Times New Roman" w:cs="Times New Roman"/>
          <w:b/>
          <w:bCs/>
        </w:rPr>
        <w:t>Describe the observed or anticipated load profiles and impacts of various types of electric vehicle charging stations (e.g., residential Level 1, Level 2, and Level 3 DC Fast charging) and the class of the vehicle charging (i.e., personal, commercial short-haul including fleets and buses, and commercial long-haul electric vehicles).</w:t>
      </w:r>
    </w:p>
    <w:p w14:paraId="18031BBF" w14:textId="77777777" w:rsidR="00135F7C" w:rsidRPr="002C7CD3" w:rsidRDefault="00135F7C" w:rsidP="009B0504">
      <w:pPr>
        <w:pStyle w:val="Normal1"/>
        <w:spacing w:line="360" w:lineRule="auto"/>
        <w:rPr>
          <w:rFonts w:ascii="Times New Roman" w:hAnsi="Times New Roman" w:cs="Times New Roman"/>
        </w:rPr>
      </w:pPr>
    </w:p>
    <w:p w14:paraId="64FB559F" w14:textId="3AFC20DF" w:rsidR="00135F7C" w:rsidRPr="002C7CD3" w:rsidRDefault="00135F7C" w:rsidP="000B5BFC">
      <w:pPr>
        <w:spacing w:line="360" w:lineRule="auto"/>
        <w:jc w:val="both"/>
        <w:rPr>
          <w:sz w:val="22"/>
        </w:rPr>
      </w:pPr>
      <w:r w:rsidRPr="002C7CD3">
        <w:rPr>
          <w:sz w:val="22"/>
        </w:rPr>
        <w:t>Load profiles vary with vehicle type and duty cycles.  For example, residential charging load profiles will differ from those for charging commercial or heavy duty trucks used 24 hours a day. It may also vary with commuter vehicles that are plugged in and charge at work. Our review of the literature demonstrates that the key to mitigating increased peaks from charging is demand management and time of use rates.</w:t>
      </w:r>
    </w:p>
    <w:p w14:paraId="667B3F93" w14:textId="004A0B87" w:rsidR="00135F7C" w:rsidRPr="002C7CD3" w:rsidRDefault="00135F7C" w:rsidP="000B5BFC">
      <w:pPr>
        <w:spacing w:line="360" w:lineRule="auto"/>
        <w:jc w:val="both"/>
        <w:rPr>
          <w:sz w:val="22"/>
        </w:rPr>
      </w:pPr>
      <w:r w:rsidRPr="002C7CD3">
        <w:rPr>
          <w:sz w:val="22"/>
        </w:rPr>
        <w:t xml:space="preserve">ERCOT developed an EV scenario for inclusion its 2018 LTSA and suggested the following </w:t>
      </w:r>
      <w:r w:rsidR="00515F18">
        <w:rPr>
          <w:sz w:val="22"/>
        </w:rPr>
        <w:t>charging patterns</w:t>
      </w:r>
      <w:r w:rsidRPr="002C7CD3">
        <w:rPr>
          <w:sz w:val="22"/>
        </w:rPr>
        <w:t xml:space="preserve"> might occur.</w:t>
      </w:r>
      <w:r w:rsidRPr="002C7CD3">
        <w:rPr>
          <w:rStyle w:val="FootnoteReference"/>
          <w:rFonts w:cs="Times New Roman"/>
          <w:sz w:val="22"/>
        </w:rPr>
        <w:footnoteReference w:id="21"/>
      </w:r>
      <w:r w:rsidRPr="002C7CD3">
        <w:rPr>
          <w:sz w:val="22"/>
        </w:rPr>
        <w:t xml:space="preserve"> </w:t>
      </w:r>
    </w:p>
    <w:p w14:paraId="48D3EC8C" w14:textId="77777777" w:rsidR="009E0047" w:rsidRDefault="00135F7C" w:rsidP="009E0047">
      <w:pPr>
        <w:spacing w:line="360" w:lineRule="auto"/>
        <w:jc w:val="center"/>
        <w:rPr>
          <w:rFonts w:cs="Times New Roman"/>
          <w:szCs w:val="24"/>
        </w:rPr>
      </w:pPr>
      <w:r>
        <w:rPr>
          <w:noProof/>
        </w:rPr>
        <w:drawing>
          <wp:inline distT="0" distB="0" distL="0" distR="0" wp14:anchorId="28E5EA09" wp14:editId="14029424">
            <wp:extent cx="3531975" cy="472727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48591" cy="4883358"/>
                    </a:xfrm>
                    <a:prstGeom prst="rect">
                      <a:avLst/>
                    </a:prstGeom>
                    <a:noFill/>
                    <a:ln>
                      <a:noFill/>
                    </a:ln>
                  </pic:spPr>
                </pic:pic>
              </a:graphicData>
            </a:graphic>
          </wp:inline>
        </w:drawing>
      </w:r>
    </w:p>
    <w:p w14:paraId="2387EA15" w14:textId="162F6D69" w:rsidR="00135F7C" w:rsidRPr="009E0047" w:rsidRDefault="00135F7C" w:rsidP="009E0047">
      <w:pPr>
        <w:spacing w:line="360" w:lineRule="auto"/>
        <w:jc w:val="both"/>
        <w:rPr>
          <w:rFonts w:cs="Times New Roman"/>
          <w:szCs w:val="24"/>
          <w:lang w:val="en"/>
        </w:rPr>
      </w:pPr>
      <w:r w:rsidRPr="002C7CD3">
        <w:rPr>
          <w:color w:val="333333"/>
          <w:sz w:val="22"/>
          <w:shd w:val="clear" w:color="auto" w:fill="FFFFFF"/>
        </w:rPr>
        <w:lastRenderedPageBreak/>
        <w:t>McKinsey studied load profiles in Germany which had, a</w:t>
      </w:r>
      <w:r w:rsidRPr="002C7CD3">
        <w:rPr>
          <w:sz w:val="22"/>
          <w:shd w:val="clear" w:color="auto" w:fill="FFFFFF"/>
        </w:rPr>
        <w:t>s of December 2018, a total of 196,750 plug-in electric vehicles.</w:t>
      </w:r>
      <w:r w:rsidRPr="002C7CD3">
        <w:rPr>
          <w:rStyle w:val="FootnoteReference"/>
          <w:rFonts w:cs="Times New Roman"/>
          <w:color w:val="222222"/>
          <w:sz w:val="22"/>
          <w:shd w:val="clear" w:color="auto" w:fill="FFFFFF"/>
        </w:rPr>
        <w:footnoteReference w:id="22"/>
      </w:r>
      <w:r w:rsidRPr="002C7CD3">
        <w:rPr>
          <w:sz w:val="22"/>
          <w:shd w:val="clear" w:color="auto" w:fill="FFFFFF"/>
        </w:rPr>
        <w:t xml:space="preserve"> The country is the largest passenger car market in Europe, however, as of December 2016, it ranked as the eighth largest plug-in market in the world and the fifth largest in Europe</w:t>
      </w:r>
      <w:r w:rsidR="009E0047">
        <w:rPr>
          <w:sz w:val="22"/>
          <w:shd w:val="clear" w:color="auto" w:fill="FFFFFF"/>
        </w:rPr>
        <w:t>.</w:t>
      </w:r>
      <w:r w:rsidRPr="002C7CD3">
        <w:rPr>
          <w:sz w:val="22"/>
          <w:shd w:val="clear" w:color="auto" w:fill="FFFFFF"/>
        </w:rPr>
        <w:t xml:space="preserve"> Approximately 2% of their vehicle fleet are EVs</w:t>
      </w:r>
      <w:r w:rsidR="00B46E61">
        <w:rPr>
          <w:sz w:val="22"/>
          <w:shd w:val="clear" w:color="auto" w:fill="FFFFFF"/>
        </w:rPr>
        <w:t>.</w:t>
      </w:r>
    </w:p>
    <w:p w14:paraId="47357F18" w14:textId="19280269" w:rsidR="00E20270" w:rsidRDefault="00135F7C" w:rsidP="000B5BFC">
      <w:pPr>
        <w:spacing w:line="360" w:lineRule="auto"/>
        <w:jc w:val="both"/>
        <w:rPr>
          <w:sz w:val="22"/>
          <w:shd w:val="clear" w:color="auto" w:fill="FFFFFF"/>
        </w:rPr>
      </w:pPr>
      <w:r w:rsidRPr="002C7CD3">
        <w:rPr>
          <w:sz w:val="22"/>
          <w:shd w:val="clear" w:color="auto" w:fill="FFFFFF"/>
        </w:rPr>
        <w:t xml:space="preserve">Using information from Germany as an example, </w:t>
      </w:r>
      <w:r w:rsidR="00E20270">
        <w:rPr>
          <w:sz w:val="22"/>
          <w:shd w:val="clear" w:color="auto" w:fill="FFFFFF"/>
        </w:rPr>
        <w:t xml:space="preserve">shows </w:t>
      </w:r>
      <w:r w:rsidRPr="002C7CD3">
        <w:rPr>
          <w:sz w:val="22"/>
          <w:shd w:val="clear" w:color="auto" w:fill="FFFFFF"/>
        </w:rPr>
        <w:t>EV growth is not likely to cause large increases in power demand through 2030</w:t>
      </w:r>
      <w:r w:rsidR="009A2B4C">
        <w:rPr>
          <w:sz w:val="22"/>
          <w:shd w:val="clear" w:color="auto" w:fill="FFFFFF"/>
        </w:rPr>
        <w:t>.</w:t>
      </w:r>
      <w:r w:rsidRPr="002C7CD3">
        <w:rPr>
          <w:sz w:val="22"/>
          <w:shd w:val="clear" w:color="auto" w:fill="FFFFFF"/>
        </w:rPr>
        <w:t xml:space="preserve"> </w:t>
      </w:r>
      <w:r w:rsidR="009A2B4C">
        <w:rPr>
          <w:sz w:val="22"/>
          <w:shd w:val="clear" w:color="auto" w:fill="FFFFFF"/>
        </w:rPr>
        <w:t>I</w:t>
      </w:r>
      <w:r w:rsidRPr="002C7CD3">
        <w:rPr>
          <w:sz w:val="22"/>
          <w:shd w:val="clear" w:color="auto" w:fill="FFFFFF"/>
        </w:rPr>
        <w:t xml:space="preserve">nstead </w:t>
      </w:r>
      <w:r w:rsidR="003C40CA">
        <w:rPr>
          <w:sz w:val="22"/>
          <w:shd w:val="clear" w:color="auto" w:fill="FFFFFF"/>
        </w:rPr>
        <w:t xml:space="preserve">in Germany, </w:t>
      </w:r>
      <w:r w:rsidRPr="003C40CA">
        <w:rPr>
          <w:sz w:val="22"/>
          <w:shd w:val="clear" w:color="auto" w:fill="FFFFFF"/>
        </w:rPr>
        <w:t>it potentially adds about 1 percent to the</w:t>
      </w:r>
      <w:r w:rsidR="00E20270">
        <w:rPr>
          <w:sz w:val="22"/>
          <w:shd w:val="clear" w:color="auto" w:fill="FFFFFF"/>
        </w:rPr>
        <w:t xml:space="preserve"> </w:t>
      </w:r>
      <w:r w:rsidRPr="003C40CA">
        <w:rPr>
          <w:sz w:val="22"/>
          <w:shd w:val="clear" w:color="auto" w:fill="FFFFFF"/>
        </w:rPr>
        <w:t xml:space="preserve">total </w:t>
      </w:r>
      <w:r w:rsidR="00E20270">
        <w:rPr>
          <w:sz w:val="22"/>
          <w:shd w:val="clear" w:color="auto" w:fill="FFFFFF"/>
        </w:rPr>
        <w:t xml:space="preserve">load </w:t>
      </w:r>
      <w:r w:rsidRPr="003C40CA">
        <w:rPr>
          <w:sz w:val="22"/>
          <w:shd w:val="clear" w:color="auto" w:fill="FFFFFF"/>
        </w:rPr>
        <w:t>and requires about five extra gigawatts (GW) of generation capacity.</w:t>
      </w:r>
      <w:r w:rsidRPr="002C7CD3">
        <w:rPr>
          <w:sz w:val="22"/>
          <w:shd w:val="clear" w:color="auto" w:fill="FFFFFF"/>
        </w:rPr>
        <w:t xml:space="preserve"> That amount could grow to roughly 4 percent by 2050, requiring additional capacity of about 20 GW. </w:t>
      </w:r>
    </w:p>
    <w:p w14:paraId="2191FDAB" w14:textId="62A3F687" w:rsidR="00135F7C" w:rsidRPr="002C7CD3" w:rsidRDefault="009E0047" w:rsidP="000B5BFC">
      <w:pPr>
        <w:spacing w:line="360" w:lineRule="auto"/>
        <w:jc w:val="both"/>
        <w:rPr>
          <w:rFonts w:eastAsia="Times New Roman" w:cs="Times New Roman"/>
          <w:sz w:val="22"/>
        </w:rPr>
      </w:pPr>
      <w:r>
        <w:rPr>
          <w:sz w:val="22"/>
          <w:shd w:val="clear" w:color="auto" w:fill="FFFFFF"/>
        </w:rPr>
        <w:t>Based on ERCOT’s interconnection queue, a</w:t>
      </w:r>
      <w:r w:rsidR="00135F7C" w:rsidRPr="002C7CD3">
        <w:rPr>
          <w:sz w:val="22"/>
          <w:shd w:val="clear" w:color="auto" w:fill="FFFFFF"/>
        </w:rPr>
        <w:t xml:space="preserve">lmost all this new-build capacity will </w:t>
      </w:r>
      <w:r>
        <w:rPr>
          <w:sz w:val="22"/>
          <w:shd w:val="clear" w:color="auto" w:fill="FFFFFF"/>
        </w:rPr>
        <w:t>be</w:t>
      </w:r>
      <w:r w:rsidR="00135F7C" w:rsidRPr="002C7CD3">
        <w:rPr>
          <w:sz w:val="22"/>
          <w:shd w:val="clear" w:color="auto" w:fill="FFFFFF"/>
        </w:rPr>
        <w:t xml:space="preserve"> wind</w:t>
      </w:r>
      <w:r>
        <w:rPr>
          <w:sz w:val="22"/>
          <w:shd w:val="clear" w:color="auto" w:fill="FFFFFF"/>
        </w:rPr>
        <w:t xml:space="preserve"> and </w:t>
      </w:r>
      <w:r w:rsidR="00135F7C" w:rsidRPr="002C7CD3">
        <w:rPr>
          <w:sz w:val="22"/>
          <w:shd w:val="clear" w:color="auto" w:fill="FFFFFF"/>
        </w:rPr>
        <w:t>solar power,</w:t>
      </w:r>
      <w:r>
        <w:rPr>
          <w:sz w:val="22"/>
          <w:shd w:val="clear" w:color="auto" w:fill="FFFFFF"/>
        </w:rPr>
        <w:t xml:space="preserve"> and energy storage,</w:t>
      </w:r>
      <w:r w:rsidR="00135F7C" w:rsidRPr="002C7CD3">
        <w:rPr>
          <w:sz w:val="22"/>
          <w:shd w:val="clear" w:color="auto" w:fill="FFFFFF"/>
        </w:rPr>
        <w:t xml:space="preserve"> with</w:t>
      </w:r>
      <w:r>
        <w:rPr>
          <w:sz w:val="22"/>
          <w:shd w:val="clear" w:color="auto" w:fill="FFFFFF"/>
        </w:rPr>
        <w:t xml:space="preserve"> the possibility of</w:t>
      </w:r>
      <w:r w:rsidR="00135F7C" w:rsidRPr="002C7CD3">
        <w:rPr>
          <w:sz w:val="22"/>
          <w:shd w:val="clear" w:color="auto" w:fill="FFFFFF"/>
        </w:rPr>
        <w:t xml:space="preserve"> some gas-powered generation.</w:t>
      </w:r>
      <w:r w:rsidR="00135F7C" w:rsidRPr="002C7CD3">
        <w:rPr>
          <w:rFonts w:eastAsia="Times New Roman"/>
          <w:sz w:val="22"/>
        </w:rPr>
        <w:t xml:space="preserve"> Energy </w:t>
      </w:r>
      <w:r>
        <w:rPr>
          <w:rFonts w:eastAsia="Times New Roman"/>
          <w:sz w:val="22"/>
        </w:rPr>
        <w:t>providers</w:t>
      </w:r>
      <w:r w:rsidR="00135F7C" w:rsidRPr="002C7CD3">
        <w:rPr>
          <w:rFonts w:eastAsia="Times New Roman"/>
          <w:sz w:val="22"/>
        </w:rPr>
        <w:t xml:space="preserve"> have several ways to address this situation. They can influence charging behavior: for example, time-of-use electricity tariffs can give incentive to EV owners to charge after midnight instead of in the early evening. Analysis shows this could halve the increase in peak load.</w:t>
      </w:r>
      <w:r w:rsidR="00135F7C" w:rsidRPr="002C7CD3">
        <w:rPr>
          <w:rStyle w:val="FootnoteReference"/>
          <w:rFonts w:eastAsia="Times New Roman"/>
          <w:color w:val="333333"/>
          <w:sz w:val="22"/>
        </w:rPr>
        <w:footnoteReference w:id="23"/>
      </w:r>
      <w:r w:rsidR="00135F7C" w:rsidRPr="002C7CD3">
        <w:rPr>
          <w:rFonts w:eastAsia="Times New Roman"/>
          <w:sz w:val="22"/>
        </w:rPr>
        <w:t xml:space="preserve"> Easy to implement and prove</w:t>
      </w:r>
      <w:r w:rsidR="00CC6742">
        <w:rPr>
          <w:rFonts w:eastAsia="Times New Roman"/>
          <w:sz w:val="22"/>
        </w:rPr>
        <w:t>n</w:t>
      </w:r>
      <w:r w:rsidR="00135F7C" w:rsidRPr="002C7CD3">
        <w:rPr>
          <w:rFonts w:eastAsia="Times New Roman"/>
          <w:sz w:val="22"/>
        </w:rPr>
        <w:t xml:space="preserve"> in trials, time-of-use rates will require oversight because their use can result in “timer peaks” which occur when many people inadvertently set their chargers to start charging at the same time.</w:t>
      </w:r>
    </w:p>
    <w:p w14:paraId="78BD407D" w14:textId="752F1970" w:rsidR="00135F7C" w:rsidRPr="002C7CD3" w:rsidRDefault="00135F7C" w:rsidP="000B5BFC">
      <w:pPr>
        <w:spacing w:line="360" w:lineRule="auto"/>
        <w:jc w:val="both"/>
        <w:rPr>
          <w:sz w:val="22"/>
        </w:rPr>
      </w:pPr>
      <w:r w:rsidRPr="002C7CD3">
        <w:rPr>
          <w:sz w:val="22"/>
        </w:rPr>
        <w:t xml:space="preserve">Alternatively, energy </w:t>
      </w:r>
      <w:r w:rsidR="00CC6742">
        <w:rPr>
          <w:sz w:val="22"/>
        </w:rPr>
        <w:t>providers</w:t>
      </w:r>
      <w:r w:rsidRPr="002C7CD3">
        <w:rPr>
          <w:sz w:val="22"/>
        </w:rPr>
        <w:t xml:space="preserve"> can deploy more local solutions, such as co-locating an energy-storage unit with the transformer that charges the unit during times of low demand. The storage unit then discharges at times of peak demand, thus reducing the peak load.</w:t>
      </w:r>
    </w:p>
    <w:p w14:paraId="0F600488" w14:textId="77777777" w:rsidR="00135F7C" w:rsidRPr="002C7CD3" w:rsidRDefault="00135F7C" w:rsidP="00B542C1">
      <w:pPr>
        <w:spacing w:after="240" w:line="360" w:lineRule="auto"/>
        <w:jc w:val="both"/>
        <w:rPr>
          <w:sz w:val="22"/>
        </w:rPr>
      </w:pPr>
      <w:r w:rsidRPr="002C7CD3">
        <w:rPr>
          <w:sz w:val="22"/>
        </w:rPr>
        <w:t>While some investments in grid upgrades or alternative solutions will be unavoidable, companies can greatly reduce them by tackling their root causes. An example involves avoiding peak-load increases altogether by shifting EV charging loads. Early insights into the charging behavior and the driving and parking patterns of EV owners suggest that for a significant share of the time that EVs remain connected to the grid, they are not actively charging. This share can range from more than 80 percent of the time for private, residential EV charging to some 25 percent for public charging. This situation creates the potential to shift the charging load and thereby optimize charging times and speeds from a system perspective, thus making charging smart.</w:t>
      </w:r>
    </w:p>
    <w:p w14:paraId="719A9877" w14:textId="4E08F9BF" w:rsidR="00135F7C" w:rsidRPr="002C7CD3" w:rsidRDefault="00B542C1" w:rsidP="000B5BFC">
      <w:pPr>
        <w:spacing w:line="360" w:lineRule="auto"/>
        <w:ind w:firstLine="0"/>
        <w:jc w:val="both"/>
        <w:rPr>
          <w:rFonts w:cs="Times New Roman"/>
          <w:b/>
          <w:bCs/>
          <w:sz w:val="22"/>
        </w:rPr>
      </w:pPr>
      <w:r w:rsidRPr="002C7CD3">
        <w:rPr>
          <w:rFonts w:cs="Times New Roman"/>
          <w:b/>
          <w:bCs/>
          <w:sz w:val="22"/>
        </w:rPr>
        <w:t>INTELLIGENTLY STEERING CHARGING BEHAVIOR TO CREATE VALUE</w:t>
      </w:r>
    </w:p>
    <w:p w14:paraId="090CCDBE" w14:textId="2AEFDDAB" w:rsidR="00135F7C" w:rsidRPr="002C7CD3" w:rsidRDefault="00135F7C" w:rsidP="000B5BFC">
      <w:pPr>
        <w:spacing w:line="360" w:lineRule="auto"/>
        <w:jc w:val="both"/>
        <w:rPr>
          <w:sz w:val="22"/>
        </w:rPr>
      </w:pPr>
      <w:r w:rsidRPr="002C7CD3">
        <w:rPr>
          <w:sz w:val="22"/>
        </w:rPr>
        <w:t xml:space="preserve">Centrally coordinated, intelligent steering of EV charging behavior could create value in several ways. First, it could allow even more effective peak shaving and thus greatly reduce the grid investments discussed. Second, it could allow a reshaping of the load curve beyond peak shaving to optimize generation </w:t>
      </w:r>
      <w:r w:rsidRPr="002C7CD3">
        <w:rPr>
          <w:sz w:val="22"/>
        </w:rPr>
        <w:lastRenderedPageBreak/>
        <w:t>cost (shifting demand from peak to base-load generation). And, charging up at times of excess solar and wind generation or throttling it down at moments of low renewables production could help to integrate a larger share of renewable power production. Finally, by providing demand-response services, smart charging could offer valuable system-balancing (frequency-response) services.</w:t>
      </w:r>
    </w:p>
    <w:p w14:paraId="43403644" w14:textId="445B8185" w:rsidR="00135F7C" w:rsidRDefault="00135F7C" w:rsidP="000B5BFC">
      <w:pPr>
        <w:spacing w:line="360" w:lineRule="auto"/>
        <w:rPr>
          <w:rFonts w:cs="Times New Roman"/>
          <w:szCs w:val="24"/>
          <w:lang w:val="en"/>
        </w:rPr>
      </w:pPr>
      <w:r w:rsidRPr="00311EE8">
        <w:rPr>
          <w:noProof/>
        </w:rPr>
        <w:drawing>
          <wp:inline distT="0" distB="0" distL="0" distR="0" wp14:anchorId="2F4CED09" wp14:editId="77333D76">
            <wp:extent cx="2661115" cy="1725433"/>
            <wp:effectExtent l="0" t="0" r="6350" b="825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74897" cy="1734369"/>
                    </a:xfrm>
                    <a:prstGeom prst="rect">
                      <a:avLst/>
                    </a:prstGeom>
                    <a:noFill/>
                    <a:ln>
                      <a:noFill/>
                    </a:ln>
                  </pic:spPr>
                </pic:pic>
              </a:graphicData>
            </a:graphic>
          </wp:inline>
        </w:drawing>
      </w:r>
      <w:r w:rsidRPr="006F7928">
        <w:rPr>
          <w:rFonts w:eastAsia="Calibri" w:cs="Times New Roman"/>
          <w:noProof/>
          <w:szCs w:val="24"/>
        </w:rPr>
        <w:drawing>
          <wp:inline distT="0" distB="0" distL="0" distR="0" wp14:anchorId="516526C2" wp14:editId="49EE1005">
            <wp:extent cx="2711395" cy="1652507"/>
            <wp:effectExtent l="0" t="0" r="0" b="508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41857" cy="1671072"/>
                    </a:xfrm>
                    <a:prstGeom prst="rect">
                      <a:avLst/>
                    </a:prstGeom>
                    <a:noFill/>
                    <a:ln>
                      <a:noFill/>
                    </a:ln>
                  </pic:spPr>
                </pic:pic>
              </a:graphicData>
            </a:graphic>
          </wp:inline>
        </w:drawing>
      </w:r>
    </w:p>
    <w:p w14:paraId="31C833E2" w14:textId="77777777" w:rsidR="00135F7C" w:rsidRPr="00F5704A" w:rsidRDefault="00135F7C" w:rsidP="000B5BFC">
      <w:pPr>
        <w:pStyle w:val="Normal1"/>
        <w:spacing w:line="360" w:lineRule="auto"/>
        <w:rPr>
          <w:rFonts w:eastAsia="Calibri"/>
          <w:sz w:val="24"/>
          <w:szCs w:val="24"/>
        </w:rPr>
      </w:pPr>
      <w:r w:rsidRPr="00F5704A">
        <w:rPr>
          <w:sz w:val="18"/>
          <w:szCs w:val="18"/>
        </w:rPr>
        <w:t>Examples of load profiles for uncontrolled EV charging (top) and indirectly controlled charging through TOU rates with off-peak hours from midnight to 6 am (bottom). Figure modified from The EV Project (2013).</w:t>
      </w:r>
      <w:r w:rsidRPr="00F5704A">
        <w:rPr>
          <w:rStyle w:val="FootnoteReference"/>
          <w:sz w:val="18"/>
          <w:szCs w:val="18"/>
        </w:rPr>
        <w:footnoteReference w:id="24"/>
      </w:r>
    </w:p>
    <w:p w14:paraId="687B3B58" w14:textId="77777777" w:rsidR="00135F7C" w:rsidRDefault="00135F7C" w:rsidP="000B5BFC">
      <w:pPr>
        <w:pStyle w:val="Normal1"/>
        <w:spacing w:line="360" w:lineRule="auto"/>
        <w:rPr>
          <w:rFonts w:ascii="Times New Roman" w:eastAsia="Calibri" w:hAnsi="Times New Roman" w:cs="Times New Roman"/>
          <w:sz w:val="24"/>
          <w:szCs w:val="24"/>
        </w:rPr>
      </w:pPr>
    </w:p>
    <w:p w14:paraId="5AA07B6E" w14:textId="05305672" w:rsidR="00135F7C" w:rsidRPr="002C7CD3" w:rsidRDefault="00135F7C" w:rsidP="000B5BFC">
      <w:pPr>
        <w:spacing w:line="360" w:lineRule="auto"/>
        <w:jc w:val="both"/>
        <w:rPr>
          <w:sz w:val="22"/>
        </w:rPr>
      </w:pPr>
      <w:r w:rsidRPr="002C7CD3">
        <w:rPr>
          <w:sz w:val="22"/>
        </w:rPr>
        <w:t xml:space="preserve">Smart charging systems are internal software </w:t>
      </w:r>
      <w:r w:rsidR="00CA69C9">
        <w:rPr>
          <w:sz w:val="22"/>
        </w:rPr>
        <w:t>and</w:t>
      </w:r>
      <w:r w:rsidRPr="002C7CD3">
        <w:rPr>
          <w:sz w:val="22"/>
        </w:rPr>
        <w:t xml:space="preserve"> networking components of Electric Vehicle Supply Equipment (EVSE), enabling internet connection to provide access to network dashboards to assist in monitoring and controlling system APIs in order to deliver custom deliverables to end users. Deliverables consist of a</w:t>
      </w:r>
      <w:r w:rsidR="00E20270">
        <w:rPr>
          <w:sz w:val="22"/>
        </w:rPr>
        <w:t xml:space="preserve"> </w:t>
      </w:r>
      <w:r w:rsidRPr="002C7CD3">
        <w:rPr>
          <w:sz w:val="22"/>
        </w:rPr>
        <w:t xml:space="preserve">number of features such as driver </w:t>
      </w:r>
      <w:r w:rsidR="00CA69C9">
        <w:rPr>
          <w:sz w:val="22"/>
        </w:rPr>
        <w:t>and</w:t>
      </w:r>
      <w:r w:rsidRPr="002C7CD3">
        <w:rPr>
          <w:sz w:val="22"/>
        </w:rPr>
        <w:t xml:space="preserve"> EV profiles, usage reports, electric load profiles/characteristics of different power levels of charging, with a strong call out regarding the ability to shape/manage EV load. </w:t>
      </w:r>
    </w:p>
    <w:p w14:paraId="59AC0A58" w14:textId="77777777" w:rsidR="00135F7C" w:rsidRPr="002C7CD3" w:rsidRDefault="00135F7C" w:rsidP="000B5BFC">
      <w:pPr>
        <w:pStyle w:val="Normal1"/>
        <w:spacing w:line="360" w:lineRule="auto"/>
      </w:pPr>
    </w:p>
    <w:p w14:paraId="0D3E26C4" w14:textId="77777777" w:rsidR="009F0940" w:rsidRPr="002C7CD3" w:rsidRDefault="009F0940" w:rsidP="000B5BFC">
      <w:pPr>
        <w:spacing w:line="360" w:lineRule="auto"/>
        <w:jc w:val="both"/>
        <w:rPr>
          <w:rFonts w:cs="Times New Roman"/>
          <w:sz w:val="22"/>
        </w:rPr>
      </w:pPr>
      <w:r w:rsidRPr="002C7CD3">
        <w:rPr>
          <w:rFonts w:cs="Times New Roman"/>
          <w:sz w:val="22"/>
        </w:rPr>
        <w:t>A recent UT study published by IEEE demonstrates the value of time of use rates to shift peak.</w:t>
      </w:r>
      <w:r w:rsidRPr="002C7CD3">
        <w:rPr>
          <w:rStyle w:val="FootnoteReference"/>
          <w:rFonts w:cs="Times New Roman"/>
          <w:sz w:val="22"/>
        </w:rPr>
        <w:footnoteReference w:id="25"/>
      </w:r>
      <w:r w:rsidRPr="002C7CD3">
        <w:rPr>
          <w:rFonts w:cs="Times New Roman"/>
          <w:sz w:val="22"/>
        </w:rPr>
        <w:t xml:space="preserve">  </w:t>
      </w:r>
    </w:p>
    <w:p w14:paraId="0111DDCF" w14:textId="25770AD1" w:rsidR="00B75E62" w:rsidRDefault="009F0940" w:rsidP="00B75E62">
      <w:pPr>
        <w:spacing w:line="360" w:lineRule="auto"/>
        <w:jc w:val="center"/>
        <w:rPr>
          <w:rFonts w:cs="Times New Roman"/>
          <w:szCs w:val="24"/>
          <w:lang w:val="en"/>
        </w:rPr>
      </w:pPr>
      <w:r w:rsidRPr="00C71466">
        <w:rPr>
          <w:rFonts w:cs="Times New Roman"/>
          <w:noProof/>
          <w:szCs w:val="24"/>
          <w:highlight w:val="yellow"/>
        </w:rPr>
        <w:lastRenderedPageBreak/>
        <w:drawing>
          <wp:inline distT="0" distB="0" distL="0" distR="0" wp14:anchorId="45FE0468" wp14:editId="0F273203">
            <wp:extent cx="4045861" cy="2052759"/>
            <wp:effectExtent l="0" t="0" r="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69292" cy="2115384"/>
                    </a:xfrm>
                    <a:prstGeom prst="rect">
                      <a:avLst/>
                    </a:prstGeom>
                    <a:noFill/>
                    <a:ln>
                      <a:noFill/>
                    </a:ln>
                  </pic:spPr>
                </pic:pic>
              </a:graphicData>
            </a:graphic>
          </wp:inline>
        </w:drawing>
      </w:r>
    </w:p>
    <w:p w14:paraId="248EA60B" w14:textId="7BB19E3F" w:rsidR="009F0940" w:rsidRDefault="009F0940" w:rsidP="00B75E62">
      <w:pPr>
        <w:pStyle w:val="Normal1"/>
        <w:spacing w:line="360" w:lineRule="auto"/>
        <w:jc w:val="center"/>
        <w:rPr>
          <w:rFonts w:ascii="Times New Roman" w:eastAsia="Calibri" w:hAnsi="Times New Roman" w:cs="Times New Roman"/>
          <w:sz w:val="24"/>
          <w:szCs w:val="24"/>
        </w:rPr>
      </w:pPr>
      <w:r w:rsidRPr="002C7CD3">
        <w:rPr>
          <w:rFonts w:ascii="Times New Roman" w:hAnsi="Times New Roman" w:cs="Times New Roman"/>
        </w:rPr>
        <w:t>Contrast this with the load profile if time of use charging is used.</w:t>
      </w:r>
      <w:r w:rsidRPr="002C7CD3">
        <w:rPr>
          <w:rStyle w:val="FootnoteReference"/>
          <w:rFonts w:ascii="Times New Roman" w:hAnsi="Times New Roman" w:cs="Times New Roman"/>
        </w:rPr>
        <w:footnoteReference w:id="26"/>
      </w:r>
      <w:r>
        <w:rPr>
          <w:rFonts w:ascii="Times New Roman" w:hAnsi="Times New Roman" w:cs="Times New Roman"/>
          <w:sz w:val="24"/>
          <w:szCs w:val="24"/>
        </w:rPr>
        <w:t xml:space="preserve"> </w:t>
      </w:r>
      <w:r w:rsidRPr="00AE0D65">
        <w:rPr>
          <w:rFonts w:ascii="Times New Roman" w:eastAsia="Calibri" w:hAnsi="Times New Roman" w:cs="Times New Roman"/>
          <w:noProof/>
          <w:sz w:val="24"/>
          <w:szCs w:val="24"/>
        </w:rPr>
        <w:drawing>
          <wp:inline distT="0" distB="0" distL="0" distR="0" wp14:anchorId="0F84B902" wp14:editId="2C7FEFC0">
            <wp:extent cx="4382736" cy="5348377"/>
            <wp:effectExtent l="0" t="0" r="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19014" cy="5392648"/>
                    </a:xfrm>
                    <a:prstGeom prst="rect">
                      <a:avLst/>
                    </a:prstGeom>
                    <a:noFill/>
                    <a:ln>
                      <a:noFill/>
                    </a:ln>
                  </pic:spPr>
                </pic:pic>
              </a:graphicData>
            </a:graphic>
          </wp:inline>
        </w:drawing>
      </w:r>
    </w:p>
    <w:p w14:paraId="79E7B656" w14:textId="3D212F7D" w:rsidR="00CC6742" w:rsidRPr="00CC6742" w:rsidRDefault="009F0940" w:rsidP="000B5BFC">
      <w:pPr>
        <w:spacing w:line="360" w:lineRule="auto"/>
        <w:jc w:val="both"/>
        <w:rPr>
          <w:rFonts w:cs="Times New Roman"/>
          <w:sz w:val="22"/>
        </w:rPr>
      </w:pPr>
      <w:r w:rsidRPr="002C7CD3">
        <w:rPr>
          <w:rFonts w:cs="Times New Roman"/>
          <w:sz w:val="22"/>
        </w:rPr>
        <w:lastRenderedPageBreak/>
        <w:t xml:space="preserve">A subsequent UT study on the impact of EVs shows that </w:t>
      </w:r>
      <w:r w:rsidRPr="00C27ACB">
        <w:rPr>
          <w:rFonts w:cs="Times New Roman"/>
          <w:sz w:val="22"/>
          <w:u w:val="single"/>
        </w:rPr>
        <w:t>with demand management and time of use rates,</w:t>
      </w:r>
      <w:r w:rsidRPr="00CC6742">
        <w:rPr>
          <w:rFonts w:cs="Times New Roman"/>
          <w:sz w:val="22"/>
        </w:rPr>
        <w:t xml:space="preserve"> 100 % of the vehicles in Texas could be electrified and not exceed the reserves at the state</w:t>
      </w:r>
      <w:r w:rsidR="00052B0A">
        <w:rPr>
          <w:rFonts w:cs="Times New Roman"/>
          <w:sz w:val="22"/>
        </w:rPr>
        <w:t>’</w:t>
      </w:r>
      <w:r w:rsidRPr="00CC6742">
        <w:rPr>
          <w:rFonts w:cs="Times New Roman"/>
          <w:sz w:val="22"/>
        </w:rPr>
        <w:t>s peak</w:t>
      </w:r>
      <w:r w:rsidR="00D549ED">
        <w:rPr>
          <w:rFonts w:cs="Times New Roman"/>
          <w:sz w:val="22"/>
        </w:rPr>
        <w:t>:</w:t>
      </w:r>
      <w:r w:rsidRPr="00CC6742">
        <w:rPr>
          <w:rStyle w:val="FootnoteReference"/>
          <w:rFonts w:cs="Times New Roman"/>
          <w:sz w:val="22"/>
        </w:rPr>
        <w:footnoteReference w:id="27"/>
      </w:r>
      <w:r w:rsidR="00CC6742" w:rsidRPr="00CC6742">
        <w:rPr>
          <w:rFonts w:cs="Times New Roman"/>
          <w:sz w:val="22"/>
        </w:rPr>
        <w:t xml:space="preserve"> </w:t>
      </w:r>
    </w:p>
    <w:p w14:paraId="5D6BEF62" w14:textId="77777777" w:rsidR="00CC6742" w:rsidRPr="00CC6742" w:rsidRDefault="00CC6742" w:rsidP="00CC6742">
      <w:pPr>
        <w:shd w:val="clear" w:color="auto" w:fill="FFFFFF"/>
        <w:spacing w:line="240" w:lineRule="auto"/>
        <w:ind w:left="720" w:firstLine="0"/>
        <w:jc w:val="both"/>
        <w:rPr>
          <w:rFonts w:eastAsia="Times New Roman" w:cs="Times New Roman"/>
          <w:sz w:val="22"/>
        </w:rPr>
      </w:pPr>
      <w:r w:rsidRPr="00CC6742">
        <w:rPr>
          <w:rFonts w:eastAsia="Times New Roman" w:cs="Times New Roman"/>
          <w:color w:val="383838"/>
          <w:sz w:val="22"/>
        </w:rPr>
        <w:t>[W]e found the ERCOT grid had spare capacity to provide more than 350 gigawatt-hours of additional electricity if idled power plants continued to operate throughout the day, not just during peak demand.</w:t>
      </w:r>
    </w:p>
    <w:p w14:paraId="5D35A794" w14:textId="1D5CD739" w:rsidR="00CC6742" w:rsidRPr="00CC6742" w:rsidRDefault="00CC6742" w:rsidP="00CC6742">
      <w:pPr>
        <w:shd w:val="clear" w:color="auto" w:fill="FFFFFF"/>
        <w:spacing w:after="280" w:line="240" w:lineRule="auto"/>
        <w:ind w:left="720" w:firstLine="0"/>
        <w:jc w:val="both"/>
        <w:rPr>
          <w:rFonts w:eastAsia="Times New Roman" w:cs="Times New Roman"/>
          <w:sz w:val="22"/>
        </w:rPr>
      </w:pPr>
      <w:r w:rsidRPr="00CC6742">
        <w:rPr>
          <w:rFonts w:eastAsia="Times New Roman" w:cs="Times New Roman"/>
          <w:color w:val="383838"/>
          <w:sz w:val="22"/>
        </w:rPr>
        <w:t>Based on our estimates, the charging requirements for a fully electrified fleet of personal cars in Texas would be about 290 gigawatt-hours per day, less than the available surplus of generation capacity. In other words, the Texas grid could theoretically charge a fully electrified vehicle fleet today if vehicles were charged during off-peak hours.</w:t>
      </w:r>
    </w:p>
    <w:p w14:paraId="5A5DB305" w14:textId="6C1122E7" w:rsidR="00E20270" w:rsidRDefault="00167FA2" w:rsidP="00E20270">
      <w:pPr>
        <w:spacing w:line="360" w:lineRule="auto"/>
        <w:jc w:val="both"/>
        <w:rPr>
          <w:rFonts w:cs="Times New Roman"/>
          <w:sz w:val="22"/>
        </w:rPr>
      </w:pPr>
      <w:r>
        <w:rPr>
          <w:rFonts w:cs="Times New Roman"/>
          <w:sz w:val="22"/>
        </w:rPr>
        <w:t>The graph below shows projected EV load in Texas with smart charging and demand management tools in place.</w:t>
      </w:r>
      <w:r w:rsidR="00E20270" w:rsidRPr="00E20270">
        <w:rPr>
          <w:rFonts w:cs="Times New Roman"/>
          <w:sz w:val="22"/>
        </w:rPr>
        <w:t xml:space="preserve"> </w:t>
      </w:r>
      <w:r w:rsidR="00E20270" w:rsidRPr="002C7CD3">
        <w:rPr>
          <w:rFonts w:cs="Times New Roman"/>
          <w:sz w:val="22"/>
        </w:rPr>
        <w:t xml:space="preserve">The GIF with this </w:t>
      </w:r>
      <w:r>
        <w:rPr>
          <w:rFonts w:cs="Times New Roman"/>
          <w:sz w:val="22"/>
        </w:rPr>
        <w:t xml:space="preserve">referenced </w:t>
      </w:r>
      <w:r w:rsidR="00E20270" w:rsidRPr="002C7CD3">
        <w:rPr>
          <w:rFonts w:cs="Times New Roman"/>
          <w:sz w:val="22"/>
        </w:rPr>
        <w:t xml:space="preserve">article </w:t>
      </w:r>
      <w:r w:rsidR="0007776D">
        <w:rPr>
          <w:rFonts w:cs="Times New Roman"/>
          <w:sz w:val="22"/>
        </w:rPr>
        <w:t xml:space="preserve">cited in the footnote below </w:t>
      </w:r>
      <w:r w:rsidR="00E20270" w:rsidRPr="002C7CD3">
        <w:rPr>
          <w:rFonts w:cs="Times New Roman"/>
          <w:sz w:val="22"/>
        </w:rPr>
        <w:t>illustrat</w:t>
      </w:r>
      <w:r w:rsidR="00E20270">
        <w:rPr>
          <w:rFonts w:cs="Times New Roman"/>
          <w:sz w:val="22"/>
        </w:rPr>
        <w:t>e</w:t>
      </w:r>
      <w:r>
        <w:rPr>
          <w:rFonts w:cs="Times New Roman"/>
          <w:sz w:val="22"/>
        </w:rPr>
        <w:t>s</w:t>
      </w:r>
      <w:r w:rsidR="00E20270">
        <w:rPr>
          <w:rFonts w:cs="Times New Roman"/>
          <w:sz w:val="22"/>
        </w:rPr>
        <w:t xml:space="preserve"> the different impacts between EV load with</w:t>
      </w:r>
      <w:r>
        <w:rPr>
          <w:rFonts w:cs="Times New Roman"/>
          <w:sz w:val="22"/>
        </w:rPr>
        <w:t xml:space="preserve"> and without </w:t>
      </w:r>
      <w:r w:rsidR="00E20270">
        <w:rPr>
          <w:rFonts w:cs="Times New Roman"/>
          <w:sz w:val="22"/>
        </w:rPr>
        <w:t>smart char</w:t>
      </w:r>
      <w:r>
        <w:rPr>
          <w:rFonts w:cs="Times New Roman"/>
          <w:sz w:val="22"/>
        </w:rPr>
        <w:t>g</w:t>
      </w:r>
      <w:r w:rsidR="00E20270">
        <w:rPr>
          <w:rFonts w:cs="Times New Roman"/>
          <w:sz w:val="22"/>
        </w:rPr>
        <w:t xml:space="preserve">ing and demand management </w:t>
      </w:r>
      <w:r>
        <w:rPr>
          <w:rFonts w:cs="Times New Roman"/>
          <w:sz w:val="22"/>
        </w:rPr>
        <w:t xml:space="preserve">in </w:t>
      </w:r>
      <w:r w:rsidR="00E20270">
        <w:rPr>
          <w:rFonts w:cs="Times New Roman"/>
          <w:sz w:val="22"/>
        </w:rPr>
        <w:t>animated fashion</w:t>
      </w:r>
      <w:r w:rsidR="00E20270" w:rsidRPr="002C7CD3">
        <w:rPr>
          <w:rFonts w:cs="Times New Roman"/>
          <w:sz w:val="22"/>
        </w:rPr>
        <w:t>.</w:t>
      </w:r>
      <w:r>
        <w:rPr>
          <w:rFonts w:cs="Times New Roman"/>
          <w:sz w:val="22"/>
        </w:rPr>
        <w:t xml:space="preserve"> </w:t>
      </w:r>
    </w:p>
    <w:p w14:paraId="237DD3A7" w14:textId="511A58B9" w:rsidR="0007776D" w:rsidRDefault="0007776D" w:rsidP="00E20270">
      <w:pPr>
        <w:spacing w:line="360" w:lineRule="auto"/>
        <w:jc w:val="both"/>
        <w:rPr>
          <w:rFonts w:cs="Times New Roman"/>
          <w:sz w:val="22"/>
        </w:rPr>
      </w:pPr>
      <w:r w:rsidRPr="0007776D">
        <w:rPr>
          <w:rFonts w:cs="Times New Roman"/>
          <w:noProof/>
          <w:sz w:val="22"/>
        </w:rPr>
        <mc:AlternateContent>
          <mc:Choice Requires="wps">
            <w:drawing>
              <wp:anchor distT="45720" distB="45720" distL="114300" distR="114300" simplePos="0" relativeHeight="251661312" behindDoc="0" locked="0" layoutInCell="1" allowOverlap="1" wp14:anchorId="7ACA8845" wp14:editId="69B16D97">
                <wp:simplePos x="0" y="0"/>
                <wp:positionH relativeFrom="column">
                  <wp:posOffset>847725</wp:posOffset>
                </wp:positionH>
                <wp:positionV relativeFrom="paragraph">
                  <wp:posOffset>185420</wp:posOffset>
                </wp:positionV>
                <wp:extent cx="4438650" cy="276225"/>
                <wp:effectExtent l="0" t="0" r="19050"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8650" cy="276225"/>
                        </a:xfrm>
                        <a:prstGeom prst="rect">
                          <a:avLst/>
                        </a:prstGeom>
                        <a:solidFill>
                          <a:srgbClr val="FFFFFF"/>
                        </a:solidFill>
                        <a:ln w="9525">
                          <a:solidFill>
                            <a:srgbClr val="000000"/>
                          </a:solidFill>
                          <a:miter lim="800000"/>
                          <a:headEnd/>
                          <a:tailEnd/>
                        </a:ln>
                      </wps:spPr>
                      <wps:txbx>
                        <w:txbxContent>
                          <w:p w14:paraId="7682B832" w14:textId="42EAF495" w:rsidR="009361B0" w:rsidRDefault="009361B0">
                            <w:r>
                              <w:t xml:space="preserve">25% electrification </w:t>
                            </w:r>
                            <w:r>
                              <w:tab/>
                            </w:r>
                            <w:r>
                              <w:tab/>
                            </w:r>
                            <w:r>
                              <w:tab/>
                              <w:t xml:space="preserve">50% electrification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ACA8845" id="_x0000_t202" coordsize="21600,21600" o:spt="202" path="m,l,21600r21600,l21600,xe">
                <v:stroke joinstyle="miter"/>
                <v:path gradientshapeok="t" o:connecttype="rect"/>
              </v:shapetype>
              <v:shape id="Text Box 2" o:spid="_x0000_s1026" type="#_x0000_t202" style="position:absolute;left:0;text-align:left;margin-left:66.75pt;margin-top:14.6pt;width:349.5pt;height:21.7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">
                <v:textbox>
                  <w:txbxContent>
                    <w:p w14:paraId="7682B832" w14:textId="42EAF495" w:rsidR="009361B0" w:rsidRDefault="009361B0">
                      <w:r>
                        <w:t xml:space="preserve">25% electrification </w:t>
                      </w:r>
                      <w:r>
                        <w:tab/>
                      </w:r>
                      <w:r>
                        <w:tab/>
                      </w:r>
                      <w:r>
                        <w:tab/>
                        <w:t xml:space="preserve">50% electrification </w:t>
                      </w:r>
                    </w:p>
                  </w:txbxContent>
                </v:textbox>
                <w10:wrap type="square"/>
              </v:shape>
            </w:pict>
          </mc:Fallback>
        </mc:AlternateContent>
      </w:r>
    </w:p>
    <w:p w14:paraId="79D92859" w14:textId="4F8D49B2" w:rsidR="00E20270" w:rsidRPr="002C7CD3" w:rsidRDefault="00146CBC" w:rsidP="00022147">
      <w:pPr>
        <w:spacing w:line="360" w:lineRule="auto"/>
        <w:jc w:val="center"/>
        <w:rPr>
          <w:rFonts w:cs="Times New Roman"/>
          <w:sz w:val="22"/>
        </w:rPr>
      </w:pPr>
      <w:r>
        <w:rPr>
          <w:noProof/>
        </w:rPr>
        <w:drawing>
          <wp:inline distT="0" distB="0" distL="0" distR="0" wp14:anchorId="6FB53B1C" wp14:editId="389440CB">
            <wp:extent cx="2212848" cy="1865376"/>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6219" t="38632" r="55897" b="19544"/>
                    <a:stretch/>
                  </pic:blipFill>
                  <pic:spPr bwMode="auto">
                    <a:xfrm>
                      <a:off x="0" y="0"/>
                      <a:ext cx="2212848" cy="1865376"/>
                    </a:xfrm>
                    <a:prstGeom prst="rect">
                      <a:avLst/>
                    </a:prstGeom>
                    <a:ln>
                      <a:noFill/>
                    </a:ln>
                    <a:extLst>
                      <a:ext uri="{53640926-AAD7-44D8-BBD7-CCE9431645EC}">
                        <a14:shadowObscured xmlns:a14="http://schemas.microsoft.com/office/drawing/2010/main"/>
                      </a:ext>
                    </a:extLst>
                  </pic:spPr>
                </pic:pic>
              </a:graphicData>
            </a:graphic>
          </wp:inline>
        </w:drawing>
      </w:r>
      <w:r w:rsidR="0007776D">
        <w:rPr>
          <w:noProof/>
        </w:rPr>
        <w:drawing>
          <wp:inline distT="0" distB="0" distL="0" distR="0" wp14:anchorId="7A511F35" wp14:editId="1D9051DE">
            <wp:extent cx="2221992" cy="1856232"/>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16475" t="38405" r="55449" b="19886"/>
                    <a:stretch/>
                  </pic:blipFill>
                  <pic:spPr bwMode="auto">
                    <a:xfrm>
                      <a:off x="0" y="0"/>
                      <a:ext cx="2221992" cy="1856232"/>
                    </a:xfrm>
                    <a:prstGeom prst="rect">
                      <a:avLst/>
                    </a:prstGeom>
                    <a:ln>
                      <a:noFill/>
                    </a:ln>
                    <a:extLst>
                      <a:ext uri="{53640926-AAD7-44D8-BBD7-CCE9431645EC}">
                        <a14:shadowObscured xmlns:a14="http://schemas.microsoft.com/office/drawing/2010/main"/>
                      </a:ext>
                    </a:extLst>
                  </pic:spPr>
                </pic:pic>
              </a:graphicData>
            </a:graphic>
          </wp:inline>
        </w:drawing>
      </w:r>
    </w:p>
    <w:p w14:paraId="1EB88E70" w14:textId="18E01A97" w:rsidR="00E676B4" w:rsidRPr="002C7CD3" w:rsidRDefault="007F3606" w:rsidP="00380906">
      <w:pPr>
        <w:spacing w:line="360" w:lineRule="auto"/>
        <w:jc w:val="both"/>
        <w:rPr>
          <w:rFonts w:cs="Times New Roman"/>
          <w:sz w:val="22"/>
        </w:rPr>
      </w:pPr>
      <w:r w:rsidRPr="002C7CD3">
        <w:rPr>
          <w:rFonts w:cs="Times New Roman"/>
          <w:sz w:val="22"/>
        </w:rPr>
        <w:t xml:space="preserve">The impact of </w:t>
      </w:r>
      <w:r w:rsidR="009F0940" w:rsidRPr="002C7CD3">
        <w:rPr>
          <w:rFonts w:cs="Times New Roman"/>
          <w:sz w:val="22"/>
        </w:rPr>
        <w:t>medium and heavy</w:t>
      </w:r>
      <w:r w:rsidR="00167FA2">
        <w:rPr>
          <w:rFonts w:cs="Times New Roman"/>
          <w:sz w:val="22"/>
        </w:rPr>
        <w:t>-</w:t>
      </w:r>
      <w:r w:rsidR="009F0940" w:rsidRPr="002C7CD3">
        <w:rPr>
          <w:rFonts w:cs="Times New Roman"/>
          <w:sz w:val="22"/>
        </w:rPr>
        <w:t xml:space="preserve">duty charging profiles </w:t>
      </w:r>
      <w:r w:rsidR="00167FA2">
        <w:rPr>
          <w:rFonts w:cs="Times New Roman"/>
          <w:sz w:val="22"/>
        </w:rPr>
        <w:t xml:space="preserve">are </w:t>
      </w:r>
      <w:r w:rsidRPr="002C7CD3">
        <w:rPr>
          <w:rFonts w:cs="Times New Roman"/>
          <w:sz w:val="22"/>
        </w:rPr>
        <w:t>more fully discussed in the answer to</w:t>
      </w:r>
      <w:r w:rsidR="00380906">
        <w:rPr>
          <w:rFonts w:cs="Times New Roman"/>
          <w:sz w:val="22"/>
        </w:rPr>
        <w:t xml:space="preserve"> </w:t>
      </w:r>
      <w:r w:rsidRPr="002C7CD3">
        <w:rPr>
          <w:rFonts w:cs="Times New Roman"/>
          <w:sz w:val="22"/>
        </w:rPr>
        <w:t>Question #6</w:t>
      </w:r>
      <w:r w:rsidR="00380906">
        <w:rPr>
          <w:rFonts w:cs="Times New Roman"/>
          <w:sz w:val="22"/>
        </w:rPr>
        <w:t>.</w:t>
      </w:r>
    </w:p>
    <w:p w14:paraId="20F1AD1E" w14:textId="77777777" w:rsidR="00E676B4" w:rsidRDefault="00E676B4" w:rsidP="000B5BFC">
      <w:pPr>
        <w:spacing w:after="160" w:line="360" w:lineRule="auto"/>
        <w:ind w:firstLine="0"/>
        <w:rPr>
          <w:rFonts w:ascii="TimesLTStd-Roman" w:eastAsia="Arial" w:hAnsi="TimesLTStd-Roman" w:cs="TimesLTStd-Roman"/>
          <w:szCs w:val="24"/>
        </w:rPr>
      </w:pPr>
      <w:r>
        <w:rPr>
          <w:rFonts w:ascii="TimesLTStd-Roman" w:hAnsi="TimesLTStd-Roman" w:cs="TimesLTStd-Roman"/>
          <w:szCs w:val="24"/>
        </w:rPr>
        <w:br w:type="page"/>
      </w:r>
    </w:p>
    <w:p w14:paraId="5AC29A82" w14:textId="423A88AD" w:rsidR="00747A32" w:rsidRPr="002C7CD3" w:rsidRDefault="00E676B4" w:rsidP="000B5BFC">
      <w:pPr>
        <w:pStyle w:val="Normal1"/>
        <w:spacing w:line="360" w:lineRule="auto"/>
        <w:jc w:val="both"/>
        <w:rPr>
          <w:rFonts w:ascii="Times New Roman" w:hAnsi="Times New Roman" w:cs="Times New Roman"/>
          <w:b/>
          <w:bCs/>
        </w:rPr>
      </w:pPr>
      <w:r w:rsidRPr="00B542C1">
        <w:rPr>
          <w:rFonts w:ascii="Times New Roman" w:hAnsi="Times New Roman" w:cs="Times New Roman"/>
          <w:b/>
          <w:bCs/>
        </w:rPr>
        <w:lastRenderedPageBreak/>
        <w:t>QUESTION #5</w:t>
      </w:r>
    </w:p>
    <w:p w14:paraId="341701DD" w14:textId="1DEE7256" w:rsidR="00E676B4" w:rsidRPr="002C7CD3" w:rsidRDefault="00E676B4" w:rsidP="00B542C1">
      <w:pPr>
        <w:pStyle w:val="Normal1"/>
        <w:spacing w:line="240" w:lineRule="auto"/>
        <w:jc w:val="both"/>
        <w:rPr>
          <w:rFonts w:ascii="Times New Roman" w:hAnsi="Times New Roman" w:cs="Times New Roman"/>
          <w:b/>
          <w:bCs/>
        </w:rPr>
      </w:pPr>
      <w:r w:rsidRPr="002C7CD3">
        <w:rPr>
          <w:rFonts w:ascii="Times New Roman" w:hAnsi="Times New Roman" w:cs="Times New Roman"/>
          <w:b/>
          <w:bCs/>
        </w:rPr>
        <w:t>What, if any, emerging vehicle charging technologies are anticipated to be commercially available in the next ten years that could impact electricity markets in Texas?</w:t>
      </w:r>
    </w:p>
    <w:p w14:paraId="71AF4649" w14:textId="77777777" w:rsidR="00E676B4" w:rsidRPr="00B542C1" w:rsidRDefault="00E676B4" w:rsidP="000B5BFC">
      <w:pPr>
        <w:pStyle w:val="Normal1"/>
        <w:spacing w:line="360" w:lineRule="auto"/>
        <w:rPr>
          <w:rFonts w:ascii="Times New Roman" w:hAnsi="Times New Roman" w:cs="Times New Roman"/>
        </w:rPr>
      </w:pPr>
    </w:p>
    <w:p w14:paraId="41C906F9" w14:textId="77777777" w:rsidR="009600B1" w:rsidRPr="00B542C1" w:rsidRDefault="009600B1" w:rsidP="009600B1">
      <w:pPr>
        <w:spacing w:line="360" w:lineRule="auto"/>
        <w:rPr>
          <w:rFonts w:eastAsia="Times New Roman" w:cs="Times New Roman"/>
          <w:color w:val="333333"/>
          <w:sz w:val="22"/>
          <w:shd w:val="clear" w:color="auto" w:fill="FCFCFC"/>
        </w:rPr>
      </w:pPr>
      <w:r w:rsidRPr="00B542C1">
        <w:rPr>
          <w:rFonts w:eastAsia="Times New Roman" w:cs="Times New Roman"/>
          <w:color w:val="333333"/>
          <w:sz w:val="22"/>
          <w:shd w:val="clear" w:color="auto" w:fill="FCFCFC"/>
        </w:rPr>
        <w:t>There are number of significant changes in charging technology that are expected in the next decade. These can be grouped into:</w:t>
      </w:r>
    </w:p>
    <w:p w14:paraId="581D4530" w14:textId="77777777" w:rsidR="009600B1" w:rsidRPr="00B542C1" w:rsidRDefault="009600B1" w:rsidP="009600B1">
      <w:pPr>
        <w:numPr>
          <w:ilvl w:val="0"/>
          <w:numId w:val="15"/>
        </w:numPr>
        <w:pBdr>
          <w:top w:val="nil"/>
          <w:left w:val="nil"/>
          <w:bottom w:val="nil"/>
          <w:right w:val="nil"/>
          <w:between w:val="nil"/>
        </w:pBdr>
        <w:spacing w:line="360" w:lineRule="auto"/>
        <w:rPr>
          <w:color w:val="333333"/>
          <w:sz w:val="22"/>
          <w:shd w:val="clear" w:color="auto" w:fill="FCFCFC"/>
        </w:rPr>
      </w:pPr>
      <w:r w:rsidRPr="00B542C1">
        <w:rPr>
          <w:rFonts w:eastAsia="Times New Roman" w:cs="Times New Roman"/>
          <w:color w:val="333333"/>
          <w:sz w:val="22"/>
          <w:shd w:val="clear" w:color="auto" w:fill="FCFCFC"/>
        </w:rPr>
        <w:t>Changes in charging speed and voltage;</w:t>
      </w:r>
    </w:p>
    <w:p w14:paraId="75F42E42" w14:textId="77777777" w:rsidR="009600B1" w:rsidRPr="00B542C1" w:rsidRDefault="009600B1" w:rsidP="009600B1">
      <w:pPr>
        <w:numPr>
          <w:ilvl w:val="0"/>
          <w:numId w:val="15"/>
        </w:numPr>
        <w:pBdr>
          <w:top w:val="nil"/>
          <w:left w:val="nil"/>
          <w:bottom w:val="nil"/>
          <w:right w:val="nil"/>
          <w:between w:val="nil"/>
        </w:pBdr>
        <w:spacing w:line="360" w:lineRule="auto"/>
        <w:rPr>
          <w:color w:val="333333"/>
          <w:sz w:val="22"/>
          <w:shd w:val="clear" w:color="auto" w:fill="FCFCFC"/>
        </w:rPr>
      </w:pPr>
      <w:r w:rsidRPr="00B542C1">
        <w:rPr>
          <w:rFonts w:eastAsia="Times New Roman" w:cs="Times New Roman"/>
          <w:color w:val="333333"/>
          <w:sz w:val="22"/>
          <w:shd w:val="clear" w:color="auto" w:fill="FCFCFC"/>
        </w:rPr>
        <w:t xml:space="preserve">Wireless charging of buses and delivery vehicles which can lead to energy loss; </w:t>
      </w:r>
    </w:p>
    <w:p w14:paraId="339F826D" w14:textId="77777777" w:rsidR="009600B1" w:rsidRPr="00B542C1" w:rsidRDefault="009600B1" w:rsidP="009600B1">
      <w:pPr>
        <w:numPr>
          <w:ilvl w:val="0"/>
          <w:numId w:val="15"/>
        </w:numPr>
        <w:pBdr>
          <w:top w:val="nil"/>
          <w:left w:val="nil"/>
          <w:bottom w:val="nil"/>
          <w:right w:val="nil"/>
          <w:between w:val="nil"/>
        </w:pBdr>
        <w:spacing w:line="360" w:lineRule="auto"/>
        <w:rPr>
          <w:color w:val="333333"/>
          <w:sz w:val="22"/>
          <w:shd w:val="clear" w:color="auto" w:fill="FCFCFC"/>
        </w:rPr>
      </w:pPr>
      <w:r w:rsidRPr="00B542C1">
        <w:rPr>
          <w:rFonts w:eastAsia="Times New Roman" w:cs="Times New Roman"/>
          <w:color w:val="333333"/>
          <w:sz w:val="22"/>
          <w:shd w:val="clear" w:color="auto" w:fill="FCFCFC"/>
        </w:rPr>
        <w:t xml:space="preserve">Using capacitors and storage to reduce needed peak energy demanded for ultra-high speed charging and inductive charging; and </w:t>
      </w:r>
    </w:p>
    <w:p w14:paraId="095B7188" w14:textId="77777777" w:rsidR="009600B1" w:rsidRPr="00B542C1" w:rsidRDefault="009600B1" w:rsidP="009600B1">
      <w:pPr>
        <w:numPr>
          <w:ilvl w:val="0"/>
          <w:numId w:val="15"/>
        </w:numPr>
        <w:pBdr>
          <w:top w:val="nil"/>
          <w:left w:val="nil"/>
          <w:bottom w:val="nil"/>
          <w:right w:val="nil"/>
          <w:between w:val="nil"/>
        </w:pBdr>
        <w:spacing w:after="160" w:line="360" w:lineRule="auto"/>
        <w:rPr>
          <w:color w:val="333333"/>
          <w:sz w:val="22"/>
          <w:shd w:val="clear" w:color="auto" w:fill="FCFCFC"/>
        </w:rPr>
      </w:pPr>
      <w:r w:rsidRPr="00B542C1">
        <w:rPr>
          <w:rFonts w:eastAsia="Times New Roman" w:cs="Times New Roman"/>
          <w:color w:val="333333"/>
          <w:sz w:val="22"/>
          <w:shd w:val="clear" w:color="auto" w:fill="FCFCFC"/>
        </w:rPr>
        <w:t xml:space="preserve">Changes in battery chemistry and materials. </w:t>
      </w:r>
    </w:p>
    <w:p w14:paraId="141F3165" w14:textId="36D89CA3" w:rsidR="009600B1" w:rsidRPr="00B542C1" w:rsidRDefault="009600B1" w:rsidP="007178A6">
      <w:pPr>
        <w:spacing w:line="360" w:lineRule="auto"/>
        <w:jc w:val="both"/>
        <w:rPr>
          <w:rFonts w:eastAsia="Times New Roman" w:cs="Times New Roman"/>
          <w:sz w:val="22"/>
        </w:rPr>
      </w:pPr>
      <w:r w:rsidRPr="00B542C1">
        <w:rPr>
          <w:rFonts w:eastAsia="Times New Roman" w:cs="Times New Roman"/>
          <w:color w:val="000000"/>
          <w:sz w:val="22"/>
        </w:rPr>
        <w:t>A recent Baylor and Texas A&amp;M study</w:t>
      </w:r>
      <w:r w:rsidRPr="00B542C1">
        <w:rPr>
          <w:rStyle w:val="FootnoteReference"/>
          <w:rFonts w:eastAsia="Times New Roman" w:cs="Times New Roman"/>
          <w:color w:val="000000"/>
          <w:sz w:val="22"/>
        </w:rPr>
        <w:footnoteReference w:id="28"/>
      </w:r>
      <w:r w:rsidRPr="00B542C1">
        <w:rPr>
          <w:rFonts w:eastAsia="Times New Roman" w:cs="Times New Roman"/>
          <w:color w:val="000000"/>
          <w:sz w:val="22"/>
        </w:rPr>
        <w:t xml:space="preserve"> performed a comprehensive analysis of factors affecti</w:t>
      </w:r>
      <w:r w:rsidR="00E15F0A">
        <w:rPr>
          <w:rFonts w:eastAsia="Times New Roman" w:cs="Times New Roman"/>
          <w:color w:val="000000"/>
          <w:sz w:val="22"/>
        </w:rPr>
        <w:t xml:space="preserve">ng </w:t>
      </w:r>
      <w:r w:rsidRPr="00B542C1">
        <w:rPr>
          <w:rFonts w:eastAsia="Times New Roman" w:cs="Times New Roman"/>
          <w:color w:val="000000"/>
          <w:sz w:val="22"/>
        </w:rPr>
        <w:t xml:space="preserve"> charging technology and charging speeds.</w:t>
      </w:r>
      <w:r w:rsidRPr="00B542C1">
        <w:rPr>
          <w:rFonts w:eastAsia="Times New Roman" w:cs="Times New Roman"/>
          <w:sz w:val="22"/>
        </w:rPr>
        <w:t xml:space="preserve"> </w:t>
      </w:r>
      <w:r w:rsidRPr="00B542C1">
        <w:rPr>
          <w:rFonts w:eastAsia="Times New Roman" w:cs="Times New Roman"/>
          <w:color w:val="333333"/>
          <w:sz w:val="22"/>
          <w:shd w:val="clear" w:color="auto" w:fill="FCFCFC"/>
        </w:rPr>
        <w:t xml:space="preserve">They find a wide </w:t>
      </w:r>
      <w:r w:rsidRPr="00B542C1">
        <w:rPr>
          <w:rFonts w:eastAsia="Times New Roman" w:cs="Times New Roman"/>
          <w:sz w:val="22"/>
        </w:rPr>
        <w:t>variety of factors could affect charging speed:</w:t>
      </w:r>
    </w:p>
    <w:p w14:paraId="0BB6B202" w14:textId="77777777" w:rsidR="009600B1" w:rsidRPr="00B542C1" w:rsidRDefault="009600B1" w:rsidP="00E15F0A">
      <w:pPr>
        <w:numPr>
          <w:ilvl w:val="0"/>
          <w:numId w:val="16"/>
        </w:numPr>
        <w:pBdr>
          <w:top w:val="nil"/>
          <w:left w:val="nil"/>
          <w:bottom w:val="nil"/>
          <w:right w:val="nil"/>
          <w:between w:val="nil"/>
        </w:pBdr>
        <w:spacing w:line="276" w:lineRule="auto"/>
        <w:rPr>
          <w:color w:val="000000"/>
          <w:sz w:val="22"/>
        </w:rPr>
      </w:pPr>
      <w:r w:rsidRPr="00B542C1">
        <w:rPr>
          <w:rFonts w:eastAsia="Times New Roman" w:cs="Times New Roman"/>
          <w:color w:val="000000"/>
          <w:sz w:val="22"/>
        </w:rPr>
        <w:t xml:space="preserve">Changing chemistry </w:t>
      </w:r>
    </w:p>
    <w:p w14:paraId="7AD7A0AF" w14:textId="77777777" w:rsidR="009600B1" w:rsidRPr="00B542C1" w:rsidRDefault="009600B1" w:rsidP="00E15F0A">
      <w:pPr>
        <w:numPr>
          <w:ilvl w:val="0"/>
          <w:numId w:val="16"/>
        </w:numPr>
        <w:pBdr>
          <w:top w:val="nil"/>
          <w:left w:val="nil"/>
          <w:bottom w:val="nil"/>
          <w:right w:val="nil"/>
          <w:between w:val="nil"/>
        </w:pBdr>
        <w:spacing w:line="276" w:lineRule="auto"/>
        <w:rPr>
          <w:color w:val="000000"/>
          <w:sz w:val="22"/>
        </w:rPr>
      </w:pPr>
      <w:r w:rsidRPr="00B542C1">
        <w:rPr>
          <w:rFonts w:eastAsia="Times New Roman" w:cs="Times New Roman"/>
          <w:color w:val="000000"/>
          <w:sz w:val="22"/>
        </w:rPr>
        <w:t xml:space="preserve">Charging strategy </w:t>
      </w:r>
    </w:p>
    <w:p w14:paraId="3D3C4EFD" w14:textId="77777777" w:rsidR="009600B1" w:rsidRPr="00B542C1" w:rsidRDefault="009600B1" w:rsidP="00E15F0A">
      <w:pPr>
        <w:numPr>
          <w:ilvl w:val="0"/>
          <w:numId w:val="16"/>
        </w:numPr>
        <w:pBdr>
          <w:top w:val="nil"/>
          <w:left w:val="nil"/>
          <w:bottom w:val="nil"/>
          <w:right w:val="nil"/>
          <w:between w:val="nil"/>
        </w:pBdr>
        <w:spacing w:line="276" w:lineRule="auto"/>
        <w:rPr>
          <w:color w:val="000000"/>
          <w:sz w:val="22"/>
        </w:rPr>
      </w:pPr>
      <w:r w:rsidRPr="00B542C1">
        <w:rPr>
          <w:rFonts w:eastAsia="Times New Roman" w:cs="Times New Roman"/>
          <w:color w:val="000000"/>
          <w:sz w:val="22"/>
        </w:rPr>
        <w:t>Constant charge</w:t>
      </w:r>
    </w:p>
    <w:p w14:paraId="4DAF0BAA" w14:textId="77777777" w:rsidR="009600B1" w:rsidRPr="00B542C1" w:rsidRDefault="009600B1" w:rsidP="00E15F0A">
      <w:pPr>
        <w:numPr>
          <w:ilvl w:val="0"/>
          <w:numId w:val="16"/>
        </w:numPr>
        <w:pBdr>
          <w:top w:val="nil"/>
          <w:left w:val="nil"/>
          <w:bottom w:val="nil"/>
          <w:right w:val="nil"/>
          <w:between w:val="nil"/>
        </w:pBdr>
        <w:spacing w:line="276" w:lineRule="auto"/>
        <w:rPr>
          <w:color w:val="000000"/>
          <w:sz w:val="22"/>
        </w:rPr>
      </w:pPr>
      <w:r w:rsidRPr="00B542C1">
        <w:rPr>
          <w:rFonts w:eastAsia="Times New Roman" w:cs="Times New Roman"/>
          <w:color w:val="000000"/>
          <w:sz w:val="22"/>
        </w:rPr>
        <w:t>Constant current</w:t>
      </w:r>
    </w:p>
    <w:p w14:paraId="4F5F44BC" w14:textId="77777777" w:rsidR="009600B1" w:rsidRPr="00B542C1" w:rsidRDefault="009600B1" w:rsidP="00E15F0A">
      <w:pPr>
        <w:numPr>
          <w:ilvl w:val="0"/>
          <w:numId w:val="16"/>
        </w:numPr>
        <w:pBdr>
          <w:top w:val="nil"/>
          <w:left w:val="nil"/>
          <w:bottom w:val="nil"/>
          <w:right w:val="nil"/>
          <w:between w:val="nil"/>
        </w:pBdr>
        <w:spacing w:line="276" w:lineRule="auto"/>
        <w:rPr>
          <w:color w:val="000000"/>
          <w:sz w:val="22"/>
        </w:rPr>
      </w:pPr>
      <w:r w:rsidRPr="00B542C1">
        <w:rPr>
          <w:rFonts w:eastAsia="Times New Roman" w:cs="Times New Roman"/>
          <w:color w:val="000000"/>
          <w:sz w:val="22"/>
        </w:rPr>
        <w:t>Constant current and voltage</w:t>
      </w:r>
    </w:p>
    <w:p w14:paraId="14DCC12F" w14:textId="77777777" w:rsidR="009600B1" w:rsidRPr="00B542C1" w:rsidRDefault="009600B1" w:rsidP="00E15F0A">
      <w:pPr>
        <w:numPr>
          <w:ilvl w:val="0"/>
          <w:numId w:val="16"/>
        </w:numPr>
        <w:pBdr>
          <w:top w:val="nil"/>
          <w:left w:val="nil"/>
          <w:bottom w:val="nil"/>
          <w:right w:val="nil"/>
          <w:between w:val="nil"/>
        </w:pBdr>
        <w:spacing w:line="276" w:lineRule="auto"/>
        <w:rPr>
          <w:color w:val="000000"/>
          <w:sz w:val="22"/>
        </w:rPr>
      </w:pPr>
      <w:r w:rsidRPr="00B542C1">
        <w:rPr>
          <w:rFonts w:eastAsia="Times New Roman" w:cs="Times New Roman"/>
          <w:color w:val="000000"/>
          <w:sz w:val="22"/>
        </w:rPr>
        <w:t xml:space="preserve">Pulse charging </w:t>
      </w:r>
    </w:p>
    <w:p w14:paraId="73EBD63A" w14:textId="77777777" w:rsidR="009600B1" w:rsidRPr="00B542C1" w:rsidRDefault="009600B1" w:rsidP="00E15F0A">
      <w:pPr>
        <w:numPr>
          <w:ilvl w:val="0"/>
          <w:numId w:val="16"/>
        </w:numPr>
        <w:pBdr>
          <w:top w:val="nil"/>
          <w:left w:val="nil"/>
          <w:bottom w:val="nil"/>
          <w:right w:val="nil"/>
          <w:between w:val="nil"/>
        </w:pBdr>
        <w:spacing w:line="276" w:lineRule="auto"/>
        <w:rPr>
          <w:color w:val="000000"/>
          <w:sz w:val="22"/>
        </w:rPr>
      </w:pPr>
      <w:r w:rsidRPr="00B542C1">
        <w:rPr>
          <w:rFonts w:eastAsia="Times New Roman" w:cs="Times New Roman"/>
          <w:color w:val="000000"/>
          <w:sz w:val="22"/>
        </w:rPr>
        <w:t xml:space="preserve">Capacitive charging </w:t>
      </w:r>
    </w:p>
    <w:p w14:paraId="39866B14" w14:textId="77777777" w:rsidR="009600B1" w:rsidRPr="00B542C1" w:rsidRDefault="009600B1" w:rsidP="00E15F0A">
      <w:pPr>
        <w:numPr>
          <w:ilvl w:val="0"/>
          <w:numId w:val="16"/>
        </w:numPr>
        <w:pBdr>
          <w:top w:val="nil"/>
          <w:left w:val="nil"/>
          <w:bottom w:val="nil"/>
          <w:right w:val="nil"/>
          <w:between w:val="nil"/>
        </w:pBdr>
        <w:spacing w:line="276" w:lineRule="auto"/>
        <w:rPr>
          <w:color w:val="000000"/>
          <w:sz w:val="22"/>
        </w:rPr>
      </w:pPr>
      <w:r w:rsidRPr="00B542C1">
        <w:rPr>
          <w:rFonts w:eastAsia="Times New Roman" w:cs="Times New Roman"/>
          <w:color w:val="000000"/>
          <w:sz w:val="22"/>
        </w:rPr>
        <w:t xml:space="preserve">Inductive charging </w:t>
      </w:r>
    </w:p>
    <w:p w14:paraId="74C6A96A" w14:textId="77777777" w:rsidR="009600B1" w:rsidRPr="00B542C1" w:rsidRDefault="009600B1" w:rsidP="00E15F0A">
      <w:pPr>
        <w:numPr>
          <w:ilvl w:val="0"/>
          <w:numId w:val="16"/>
        </w:numPr>
        <w:pBdr>
          <w:top w:val="nil"/>
          <w:left w:val="nil"/>
          <w:bottom w:val="nil"/>
          <w:right w:val="nil"/>
          <w:between w:val="nil"/>
        </w:pBdr>
        <w:spacing w:line="276" w:lineRule="auto"/>
        <w:rPr>
          <w:color w:val="000000"/>
          <w:sz w:val="22"/>
        </w:rPr>
      </w:pPr>
      <w:r w:rsidRPr="00B542C1">
        <w:rPr>
          <w:rFonts w:eastAsia="Times New Roman" w:cs="Times New Roman"/>
          <w:color w:val="000000"/>
          <w:sz w:val="22"/>
        </w:rPr>
        <w:t xml:space="preserve">Fast charging power electronics </w:t>
      </w:r>
    </w:p>
    <w:p w14:paraId="045E4ED5" w14:textId="77777777" w:rsidR="009600B1" w:rsidRPr="00B542C1" w:rsidRDefault="009600B1" w:rsidP="00E15F0A">
      <w:pPr>
        <w:numPr>
          <w:ilvl w:val="0"/>
          <w:numId w:val="16"/>
        </w:numPr>
        <w:pBdr>
          <w:top w:val="nil"/>
          <w:left w:val="nil"/>
          <w:bottom w:val="nil"/>
          <w:right w:val="nil"/>
          <w:between w:val="nil"/>
        </w:pBdr>
        <w:spacing w:after="160" w:line="276" w:lineRule="auto"/>
        <w:rPr>
          <w:rFonts w:ascii="Calibri" w:eastAsia="Calibri" w:hAnsi="Calibri" w:cs="Calibri"/>
          <w:color w:val="000000"/>
          <w:sz w:val="22"/>
        </w:rPr>
      </w:pPr>
      <w:r w:rsidRPr="00B542C1">
        <w:rPr>
          <w:rFonts w:eastAsia="Times New Roman" w:cs="Times New Roman"/>
          <w:color w:val="000000"/>
          <w:sz w:val="22"/>
        </w:rPr>
        <w:t xml:space="preserve">Battery thermal management </w:t>
      </w:r>
    </w:p>
    <w:p w14:paraId="3102F6A7" w14:textId="58B0D0A3" w:rsidR="009600B1" w:rsidRPr="00B542C1" w:rsidRDefault="00B542C1" w:rsidP="009600B1">
      <w:pPr>
        <w:spacing w:line="360" w:lineRule="auto"/>
        <w:ind w:firstLine="0"/>
        <w:rPr>
          <w:rFonts w:eastAsia="Times New Roman" w:cs="Times New Roman"/>
          <w:b/>
          <w:sz w:val="22"/>
        </w:rPr>
      </w:pPr>
      <w:r w:rsidRPr="00B542C1">
        <w:rPr>
          <w:rFonts w:eastAsia="Times New Roman" w:cs="Times New Roman"/>
          <w:b/>
          <w:sz w:val="22"/>
        </w:rPr>
        <w:t>THE RELATIONSHIP OF POWER TO CHARGING TIME</w:t>
      </w:r>
    </w:p>
    <w:p w14:paraId="59BD4420" w14:textId="6392812F" w:rsidR="009600B1" w:rsidRPr="00B542C1" w:rsidRDefault="008B173B" w:rsidP="007178A6">
      <w:pPr>
        <w:spacing w:line="360" w:lineRule="auto"/>
        <w:jc w:val="both"/>
        <w:rPr>
          <w:rFonts w:eastAsia="Times New Roman" w:cs="Times New Roman"/>
          <w:color w:val="1A1A1A"/>
          <w:sz w:val="22"/>
        </w:rPr>
      </w:pPr>
      <w:r w:rsidRPr="00DC3865">
        <w:rPr>
          <w:rFonts w:eastAsia="Times New Roman" w:cs="Times New Roman"/>
          <w:color w:val="1A1A1A"/>
          <w:sz w:val="22"/>
        </w:rPr>
        <w:t xml:space="preserve">In order to be fully competitive, EV drivers will demand charging times comparable that of a fossil fuel vehicle, or about </w:t>
      </w:r>
      <w:r w:rsidR="00C05884" w:rsidRPr="00DC3865">
        <w:rPr>
          <w:rFonts w:eastAsia="Times New Roman" w:cs="Times New Roman"/>
          <w:color w:val="1A1A1A"/>
          <w:sz w:val="22"/>
        </w:rPr>
        <w:t>10</w:t>
      </w:r>
      <w:r w:rsidRPr="00DC3865">
        <w:rPr>
          <w:rFonts w:eastAsia="Times New Roman" w:cs="Times New Roman"/>
          <w:color w:val="1A1A1A"/>
          <w:sz w:val="22"/>
        </w:rPr>
        <w:t xml:space="preserve"> minutes. </w:t>
      </w:r>
      <w:r w:rsidR="009600B1" w:rsidRPr="00DC3865">
        <w:rPr>
          <w:rFonts w:eastAsia="Times New Roman" w:cs="Times New Roman"/>
          <w:color w:val="1A1A1A"/>
          <w:sz w:val="22"/>
        </w:rPr>
        <w:t xml:space="preserve">If a driver charges his or her car at a </w:t>
      </w:r>
      <w:r w:rsidR="00167FA2" w:rsidRPr="00DC3865">
        <w:rPr>
          <w:rFonts w:eastAsia="Times New Roman" w:cs="Times New Roman"/>
          <w:color w:val="1A1A1A"/>
          <w:sz w:val="22"/>
        </w:rPr>
        <w:t>fast charging station</w:t>
      </w:r>
      <w:r w:rsidR="009600B1" w:rsidRPr="00DC3865">
        <w:rPr>
          <w:rFonts w:eastAsia="Times New Roman" w:cs="Times New Roman"/>
          <w:color w:val="1A1A1A"/>
          <w:sz w:val="22"/>
        </w:rPr>
        <w:t xml:space="preserve"> that provides less than 50 kW, the charging takes about 50 minutes and gives a driving range of about 125 miles. </w:t>
      </w:r>
      <w:r w:rsidR="00424E08" w:rsidRPr="00DC3865">
        <w:rPr>
          <w:rFonts w:eastAsia="Times New Roman" w:cs="Times New Roman"/>
          <w:color w:val="1A1A1A"/>
          <w:sz w:val="22"/>
        </w:rPr>
        <w:t>O</w:t>
      </w:r>
      <w:r w:rsidR="009600B1" w:rsidRPr="00DC3865">
        <w:rPr>
          <w:rFonts w:eastAsia="Times New Roman" w:cs="Times New Roman"/>
          <w:color w:val="1A1A1A"/>
          <w:sz w:val="22"/>
        </w:rPr>
        <w:t>n a long trip, drivers would not want to stop every 125 miles and wait for 50 minutes to continue their trip</w:t>
      </w:r>
      <w:r w:rsidR="00A26671" w:rsidRPr="00DC3865">
        <w:rPr>
          <w:rFonts w:eastAsia="Times New Roman" w:cs="Times New Roman"/>
          <w:color w:val="1A1A1A"/>
          <w:sz w:val="22"/>
        </w:rPr>
        <w:t>,</w:t>
      </w:r>
      <w:r w:rsidR="00167FA2" w:rsidRPr="00DC3865">
        <w:rPr>
          <w:rFonts w:eastAsia="Times New Roman" w:cs="Times New Roman"/>
          <w:color w:val="1A1A1A"/>
          <w:sz w:val="22"/>
        </w:rPr>
        <w:t xml:space="preserve"> </w:t>
      </w:r>
      <w:r w:rsidR="00DC3865" w:rsidRPr="00DC3865">
        <w:rPr>
          <w:rFonts w:eastAsia="Times New Roman" w:cs="Times New Roman"/>
          <w:color w:val="1A1A1A"/>
          <w:sz w:val="22"/>
        </w:rPr>
        <w:t>resulting in</w:t>
      </w:r>
      <w:r w:rsidRPr="00DC3865">
        <w:rPr>
          <w:rFonts w:eastAsia="Times New Roman" w:cs="Times New Roman"/>
          <w:color w:val="1A1A1A"/>
          <w:sz w:val="22"/>
        </w:rPr>
        <w:t xml:space="preserve"> anticipated</w:t>
      </w:r>
      <w:r w:rsidR="00167FA2" w:rsidRPr="00DC3865">
        <w:rPr>
          <w:rFonts w:eastAsia="Times New Roman" w:cs="Times New Roman"/>
          <w:color w:val="1A1A1A"/>
          <w:sz w:val="22"/>
        </w:rPr>
        <w:t xml:space="preserve"> demand for </w:t>
      </w:r>
      <w:r w:rsidRPr="00DC3865">
        <w:rPr>
          <w:rFonts w:eastAsia="Times New Roman" w:cs="Times New Roman"/>
          <w:color w:val="1A1A1A"/>
          <w:sz w:val="22"/>
        </w:rPr>
        <w:t>u</w:t>
      </w:r>
      <w:r w:rsidR="009F6495" w:rsidRPr="00DC3865">
        <w:rPr>
          <w:rFonts w:eastAsia="Times New Roman" w:cs="Times New Roman"/>
          <w:color w:val="1A1A1A"/>
          <w:sz w:val="22"/>
        </w:rPr>
        <w:t>ltra-fast charging</w:t>
      </w:r>
      <w:r w:rsidR="009F6495">
        <w:rPr>
          <w:rFonts w:eastAsia="Times New Roman" w:cs="Times New Roman"/>
          <w:color w:val="1A1A1A"/>
          <w:sz w:val="22"/>
        </w:rPr>
        <w:t xml:space="preserve">. </w:t>
      </w:r>
    </w:p>
    <w:p w14:paraId="4CEB6933" w14:textId="77777777" w:rsidR="009600B1" w:rsidRPr="00B542C1" w:rsidRDefault="009600B1" w:rsidP="007178A6">
      <w:pPr>
        <w:spacing w:line="360" w:lineRule="auto"/>
        <w:jc w:val="both"/>
        <w:rPr>
          <w:rFonts w:eastAsia="Times New Roman" w:cs="Times New Roman"/>
          <w:b/>
          <w:sz w:val="22"/>
        </w:rPr>
      </w:pPr>
      <w:r w:rsidRPr="00B542C1">
        <w:rPr>
          <w:rFonts w:eastAsia="Times New Roman" w:cs="Times New Roman"/>
          <w:sz w:val="22"/>
        </w:rPr>
        <w:t>The biggest hindrance for ultra-fast chargers is reportedly the size of the current generation of batteries as well as the voltage they can accept. Ultra-fast charging may be the future, but right now battery technology is lagging.</w:t>
      </w:r>
    </w:p>
    <w:p w14:paraId="5498DE16" w14:textId="77777777" w:rsidR="001E35E9" w:rsidRDefault="009600B1" w:rsidP="001E35E9">
      <w:pPr>
        <w:spacing w:line="360" w:lineRule="auto"/>
        <w:jc w:val="both"/>
        <w:rPr>
          <w:rFonts w:eastAsia="Times New Roman" w:cs="Times New Roman"/>
          <w:sz w:val="22"/>
        </w:rPr>
      </w:pPr>
      <w:r w:rsidRPr="00B542C1">
        <w:rPr>
          <w:rFonts w:eastAsia="Times New Roman" w:cs="Times New Roman"/>
          <w:sz w:val="22"/>
        </w:rPr>
        <w:lastRenderedPageBreak/>
        <w:t>Despite those restrictions, some newer electric vehicles are beginning to close the gap. Among them is the Jaguar I-PACE which can accept 440 Volts, giving it a total</w:t>
      </w:r>
      <w:r w:rsidR="008B173B">
        <w:rPr>
          <w:rFonts w:eastAsia="Times New Roman" w:cs="Times New Roman"/>
          <w:sz w:val="22"/>
        </w:rPr>
        <w:t xml:space="preserve"> full </w:t>
      </w:r>
      <w:r w:rsidRPr="00B542C1">
        <w:rPr>
          <w:rFonts w:eastAsia="Times New Roman" w:cs="Times New Roman"/>
          <w:sz w:val="22"/>
        </w:rPr>
        <w:t>charge time of 1.5 hours according to the company.</w:t>
      </w:r>
    </w:p>
    <w:p w14:paraId="4E262F63" w14:textId="4C362792" w:rsidR="00B542C1" w:rsidRPr="001E35E9" w:rsidRDefault="009600B1" w:rsidP="001E35E9">
      <w:pPr>
        <w:spacing w:line="360" w:lineRule="auto"/>
        <w:jc w:val="both"/>
        <w:rPr>
          <w:rFonts w:eastAsia="Times New Roman" w:cs="Times New Roman"/>
          <w:sz w:val="22"/>
        </w:rPr>
      </w:pPr>
      <w:r w:rsidRPr="00B542C1">
        <w:rPr>
          <w:rFonts w:eastAsia="Times New Roman" w:cs="Times New Roman"/>
          <w:sz w:val="22"/>
        </w:rPr>
        <w:t xml:space="preserve">Several battery technologies are also emerging that could help increase range and charging capabilities of electric vehicles. </w:t>
      </w:r>
      <w:r w:rsidR="00C05884" w:rsidRPr="009361B0">
        <w:rPr>
          <w:rFonts w:cs="Times New Roman"/>
          <w:color w:val="000000"/>
          <w:spacing w:val="-2"/>
          <w:sz w:val="22"/>
          <w:shd w:val="clear" w:color="auto" w:fill="FFFFFF"/>
        </w:rPr>
        <w:t>One company, the Australia-based Tritium, says it can provide drivers about 210 miles of charge in just 10 minutes — a feat that would shatter prior standards</w:t>
      </w:r>
      <w:r w:rsidR="009361B0">
        <w:rPr>
          <w:rFonts w:cs="Times New Roman"/>
          <w:color w:val="000000"/>
          <w:spacing w:val="-2"/>
          <w:sz w:val="22"/>
          <w:shd w:val="clear" w:color="auto" w:fill="FFFFFF"/>
        </w:rPr>
        <w:t>.</w:t>
      </w:r>
      <w:r w:rsidR="009361B0">
        <w:rPr>
          <w:rStyle w:val="FootnoteReference"/>
          <w:rFonts w:cs="Times New Roman"/>
          <w:color w:val="000000"/>
          <w:spacing w:val="-2"/>
          <w:sz w:val="22"/>
          <w:shd w:val="clear" w:color="auto" w:fill="FFFFFF"/>
        </w:rPr>
        <w:footnoteReference w:id="29"/>
      </w:r>
    </w:p>
    <w:p w14:paraId="64A5BF71" w14:textId="421097D0" w:rsidR="00B542C1" w:rsidRPr="00B542C1" w:rsidRDefault="00B542C1" w:rsidP="007178A6">
      <w:pPr>
        <w:spacing w:line="360" w:lineRule="auto"/>
        <w:jc w:val="both"/>
        <w:rPr>
          <w:rFonts w:eastAsia="Times New Roman" w:cs="Times New Roman"/>
          <w:color w:val="0000FF"/>
          <w:sz w:val="22"/>
          <w:u w:val="single"/>
        </w:rPr>
      </w:pPr>
      <w:r w:rsidRPr="00B542C1">
        <w:rPr>
          <w:rFonts w:eastAsia="Times New Roman" w:cs="Times New Roman"/>
          <w:color w:val="333333"/>
          <w:sz w:val="22"/>
          <w:shd w:val="clear" w:color="auto" w:fill="FCFCFC"/>
        </w:rPr>
        <w:t>The development of ultra-fast</w:t>
      </w:r>
      <w:r w:rsidRPr="00B542C1">
        <w:rPr>
          <w:rFonts w:cs="Times New Roman"/>
          <w:sz w:val="22"/>
        </w:rPr>
        <w:t xml:space="preserve"> charging w</w:t>
      </w:r>
      <w:r w:rsidRPr="00B542C1">
        <w:rPr>
          <w:rFonts w:eastAsia="Times New Roman" w:cs="Times New Roman"/>
          <w:color w:val="333333"/>
          <w:sz w:val="22"/>
          <w:shd w:val="clear" w:color="auto" w:fill="FCFCFC"/>
        </w:rPr>
        <w:t>ill have its own challenges, both for charging operators and utilities. Today, the fastest charger in the field is 350 kW but the resultant load for fast chargers for semi-trucks is 1 MW to 4.5MW of peak charge demand. That could result in 10 to 45 MW of collective peak demand for a truck charging stop.</w:t>
      </w:r>
      <w:r w:rsidRPr="00B542C1">
        <w:rPr>
          <w:rStyle w:val="FootnoteReference"/>
          <w:rFonts w:eastAsia="Times New Roman" w:cs="Times New Roman"/>
          <w:color w:val="333333"/>
          <w:sz w:val="22"/>
          <w:shd w:val="clear" w:color="auto" w:fill="FCFCFC"/>
        </w:rPr>
        <w:footnoteReference w:id="30"/>
      </w:r>
    </w:p>
    <w:p w14:paraId="45AE4238" w14:textId="4B061954" w:rsidR="00B542C1" w:rsidRPr="00B542C1" w:rsidRDefault="00B542C1" w:rsidP="007178A6">
      <w:pPr>
        <w:spacing w:line="360" w:lineRule="auto"/>
        <w:jc w:val="both"/>
        <w:rPr>
          <w:rFonts w:eastAsia="Times New Roman" w:cs="Times New Roman"/>
          <w:sz w:val="22"/>
        </w:rPr>
      </w:pPr>
      <w:r w:rsidRPr="00B542C1">
        <w:rPr>
          <w:rFonts w:eastAsia="Times New Roman" w:cs="Times New Roman"/>
          <w:sz w:val="22"/>
        </w:rPr>
        <w:t>Wireless changing will be used initially for busses, shuttles and short haul delivery vehicles. It will be used in three types of applications. Short</w:t>
      </w:r>
      <w:r w:rsidR="00C05884">
        <w:rPr>
          <w:rFonts w:eastAsia="Times New Roman" w:cs="Times New Roman"/>
          <w:sz w:val="22"/>
        </w:rPr>
        <w:t>-</w:t>
      </w:r>
      <w:r w:rsidRPr="00B542C1">
        <w:rPr>
          <w:rFonts w:eastAsia="Times New Roman" w:cs="Times New Roman"/>
          <w:sz w:val="22"/>
        </w:rPr>
        <w:t xml:space="preserve">term bursts of a large amount of voltage can increase </w:t>
      </w:r>
      <w:r w:rsidR="00C05884">
        <w:rPr>
          <w:rFonts w:eastAsia="Times New Roman" w:cs="Times New Roman"/>
          <w:sz w:val="22"/>
        </w:rPr>
        <w:t xml:space="preserve">stored </w:t>
      </w:r>
      <w:r w:rsidRPr="00B542C1">
        <w:rPr>
          <w:rFonts w:eastAsia="Times New Roman" w:cs="Times New Roman"/>
          <w:sz w:val="22"/>
        </w:rPr>
        <w:t xml:space="preserve">energy </w:t>
      </w:r>
      <w:r w:rsidR="009F6495">
        <w:rPr>
          <w:rFonts w:eastAsia="Times New Roman" w:cs="Times New Roman"/>
          <w:sz w:val="22"/>
        </w:rPr>
        <w:t>but</w:t>
      </w:r>
      <w:r w:rsidRPr="00B542C1">
        <w:rPr>
          <w:rFonts w:eastAsia="Times New Roman" w:cs="Times New Roman"/>
          <w:sz w:val="22"/>
        </w:rPr>
        <w:t xml:space="preserve"> some energy loss will occur as a vehicle pulls under </w:t>
      </w:r>
      <w:r w:rsidR="00E15F0A">
        <w:rPr>
          <w:rFonts w:eastAsia="Times New Roman" w:cs="Times New Roman"/>
          <w:sz w:val="22"/>
        </w:rPr>
        <w:t xml:space="preserve">a </w:t>
      </w:r>
      <w:r w:rsidRPr="00B542C1">
        <w:rPr>
          <w:rFonts w:eastAsia="Times New Roman" w:cs="Times New Roman"/>
          <w:sz w:val="22"/>
        </w:rPr>
        <w:t>charging station or over a plate at a bus stop. This type of charging will be backed up with capacitors and storage.  Slower more controlled charging will occur in large facilities like in Austin Energy’s bus depot</w:t>
      </w:r>
      <w:r w:rsidR="00E15F0A">
        <w:rPr>
          <w:rFonts w:eastAsia="Times New Roman" w:cs="Times New Roman"/>
          <w:sz w:val="22"/>
        </w:rPr>
        <w:t>. S</w:t>
      </w:r>
      <w:r w:rsidRPr="00B542C1">
        <w:rPr>
          <w:rFonts w:eastAsia="Times New Roman" w:cs="Times New Roman"/>
          <w:sz w:val="22"/>
        </w:rPr>
        <w:t>lower charging will</w:t>
      </w:r>
      <w:r w:rsidR="00E15F0A">
        <w:rPr>
          <w:rFonts w:eastAsia="Times New Roman" w:cs="Times New Roman"/>
          <w:sz w:val="22"/>
        </w:rPr>
        <w:t xml:space="preserve"> also</w:t>
      </w:r>
      <w:r w:rsidRPr="00B542C1">
        <w:rPr>
          <w:rFonts w:eastAsia="Times New Roman" w:cs="Times New Roman"/>
          <w:sz w:val="22"/>
        </w:rPr>
        <w:t xml:space="preserve"> occur at a home or office over a stationary plate. Images below depict catenary charging (on the left) and wireless charging (on the right).</w:t>
      </w:r>
      <w:r w:rsidRPr="00B542C1">
        <w:rPr>
          <w:rStyle w:val="FootnoteReference"/>
          <w:rFonts w:eastAsia="Times New Roman" w:cs="Times New Roman"/>
          <w:sz w:val="22"/>
        </w:rPr>
        <w:footnoteReference w:id="31"/>
      </w:r>
    </w:p>
    <w:p w14:paraId="589FE91E" w14:textId="77777777" w:rsidR="00B542C1" w:rsidRPr="00B542C1" w:rsidRDefault="00B542C1" w:rsidP="00B542C1">
      <w:pPr>
        <w:spacing w:line="360" w:lineRule="auto"/>
        <w:rPr>
          <w:rFonts w:eastAsia="Times New Roman" w:cs="Times New Roman"/>
          <w:sz w:val="22"/>
        </w:rPr>
      </w:pPr>
    </w:p>
    <w:p w14:paraId="5690B5E6" w14:textId="77777777" w:rsidR="00B542C1" w:rsidRPr="00B542C1" w:rsidRDefault="00B542C1" w:rsidP="00B542C1">
      <w:pPr>
        <w:pBdr>
          <w:top w:val="nil"/>
          <w:left w:val="nil"/>
          <w:bottom w:val="nil"/>
          <w:right w:val="nil"/>
          <w:between w:val="nil"/>
        </w:pBdr>
        <w:shd w:val="clear" w:color="auto" w:fill="FFFFFF"/>
        <w:spacing w:after="450" w:line="360" w:lineRule="auto"/>
        <w:jc w:val="both"/>
        <w:rPr>
          <w:rFonts w:eastAsia="Times New Roman" w:cs="Times New Roman"/>
          <w:color w:val="000000"/>
          <w:sz w:val="22"/>
        </w:rPr>
      </w:pPr>
      <w:r w:rsidRPr="00B542C1">
        <w:rPr>
          <w:rFonts w:eastAsia="Times New Roman" w:cs="Times New Roman"/>
          <w:noProof/>
          <w:color w:val="000000"/>
          <w:sz w:val="22"/>
        </w:rPr>
        <w:drawing>
          <wp:inline distT="0" distB="0" distL="0" distR="0" wp14:anchorId="411D1F69" wp14:editId="27B5AA0E">
            <wp:extent cx="3000375" cy="1543050"/>
            <wp:effectExtent l="0" t="0" r="9525" b="0"/>
            <wp:docPr id="5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43"/>
                    <a:srcRect/>
                    <a:stretch>
                      <a:fillRect/>
                    </a:stretch>
                  </pic:blipFill>
                  <pic:spPr>
                    <a:xfrm>
                      <a:off x="0" y="0"/>
                      <a:ext cx="3040999" cy="1563942"/>
                    </a:xfrm>
                    <a:prstGeom prst="rect">
                      <a:avLst/>
                    </a:prstGeom>
                    <a:ln/>
                  </pic:spPr>
                </pic:pic>
              </a:graphicData>
            </a:graphic>
          </wp:inline>
        </w:drawing>
      </w:r>
      <w:r w:rsidRPr="00B542C1">
        <w:rPr>
          <w:rFonts w:eastAsia="Times New Roman" w:cs="Times New Roman"/>
          <w:noProof/>
          <w:color w:val="1A1A1A"/>
          <w:sz w:val="22"/>
        </w:rPr>
        <w:drawing>
          <wp:inline distT="0" distB="0" distL="0" distR="0" wp14:anchorId="73508EC5" wp14:editId="6967A974">
            <wp:extent cx="1905000" cy="1543050"/>
            <wp:effectExtent l="0" t="0" r="0" b="0"/>
            <wp:docPr id="56" name="image1.jpg" descr="C:\Users\Tom\AppData\Local\Microsoft\Windows\INetCache\Content.MSO\1C8EF48.tmp"/>
            <wp:cNvGraphicFramePr/>
            <a:graphic xmlns:a="http://schemas.openxmlformats.org/drawingml/2006/main">
              <a:graphicData uri="http://schemas.openxmlformats.org/drawingml/2006/picture">
                <pic:pic xmlns:pic="http://schemas.openxmlformats.org/drawingml/2006/picture">
                  <pic:nvPicPr>
                    <pic:cNvPr id="0" name="image1.jpg" descr="C:\Users\Tom\AppData\Local\Microsoft\Windows\INetCache\Content.MSO\1C8EF48.tmp"/>
                    <pic:cNvPicPr preferRelativeResize="0"/>
                  </pic:nvPicPr>
                  <pic:blipFill>
                    <a:blip r:embed="rId44"/>
                    <a:srcRect/>
                    <a:stretch>
                      <a:fillRect/>
                    </a:stretch>
                  </pic:blipFill>
                  <pic:spPr>
                    <a:xfrm>
                      <a:off x="0" y="0"/>
                      <a:ext cx="1922772" cy="1557445"/>
                    </a:xfrm>
                    <a:prstGeom prst="rect">
                      <a:avLst/>
                    </a:prstGeom>
                    <a:ln/>
                  </pic:spPr>
                </pic:pic>
              </a:graphicData>
            </a:graphic>
          </wp:inline>
        </w:drawing>
      </w:r>
    </w:p>
    <w:p w14:paraId="789F9379" w14:textId="79A47EEE" w:rsidR="00B542C1" w:rsidRPr="00B542C1" w:rsidRDefault="00B542C1" w:rsidP="007178A6">
      <w:pPr>
        <w:spacing w:after="240" w:line="360" w:lineRule="auto"/>
        <w:jc w:val="both"/>
        <w:rPr>
          <w:rFonts w:eastAsia="Times New Roman" w:cs="Times New Roman"/>
          <w:sz w:val="22"/>
        </w:rPr>
      </w:pPr>
      <w:r w:rsidRPr="00B542C1">
        <w:rPr>
          <w:rFonts w:eastAsia="Times New Roman" w:cs="Times New Roman"/>
          <w:color w:val="212529"/>
          <w:sz w:val="22"/>
          <w:highlight w:val="white"/>
        </w:rPr>
        <w:lastRenderedPageBreak/>
        <w:t>A new type of solid</w:t>
      </w:r>
      <w:r w:rsidR="00C05884">
        <w:rPr>
          <w:rFonts w:eastAsia="Times New Roman" w:cs="Times New Roman"/>
          <w:color w:val="212529"/>
          <w:sz w:val="22"/>
          <w:highlight w:val="white"/>
        </w:rPr>
        <w:t>-</w:t>
      </w:r>
      <w:r w:rsidRPr="00B542C1">
        <w:rPr>
          <w:rFonts w:eastAsia="Times New Roman" w:cs="Times New Roman"/>
          <w:color w:val="212529"/>
          <w:sz w:val="22"/>
          <w:highlight w:val="white"/>
        </w:rPr>
        <w:t>state battery has recently been announced by John Goodenough, one of the inventors of the lithium ion battery. University of Texas at Austin researchers demonstrated</w:t>
      </w:r>
      <w:r w:rsidRPr="00B542C1">
        <w:rPr>
          <w:rStyle w:val="FootnoteReference"/>
          <w:rFonts w:eastAsia="Times New Roman" w:cs="Times New Roman"/>
          <w:color w:val="212529"/>
          <w:sz w:val="22"/>
          <w:highlight w:val="white"/>
        </w:rPr>
        <w:footnoteReference w:id="32"/>
      </w:r>
      <w:r w:rsidRPr="00B542C1">
        <w:rPr>
          <w:rFonts w:eastAsia="Times New Roman" w:cs="Times New Roman"/>
          <w:color w:val="212529"/>
          <w:sz w:val="22"/>
          <w:highlight w:val="white"/>
        </w:rPr>
        <w:t xml:space="preserve"> that their new battery cells have at least three times as much energy density as today’s lithium-ion batteries, so a driver could go far more miles between charges. The UT Austin battery formulation also allows for a greater number of charging and discharging cycles, which equates to longer-lasting batteries, as well as a faster rate of recharge (minutes rather than hours).</w:t>
      </w:r>
    </w:p>
    <w:p w14:paraId="1CE993CD" w14:textId="57D0C82A" w:rsidR="00B542C1" w:rsidRPr="00B542C1" w:rsidRDefault="00B542C1" w:rsidP="00B542C1">
      <w:pPr>
        <w:spacing w:line="360" w:lineRule="auto"/>
        <w:ind w:firstLine="0"/>
        <w:rPr>
          <w:rFonts w:eastAsia="Times New Roman" w:cs="Times New Roman"/>
          <w:b/>
          <w:bCs/>
          <w:sz w:val="22"/>
        </w:rPr>
      </w:pPr>
      <w:r w:rsidRPr="00B542C1">
        <w:rPr>
          <w:rFonts w:eastAsia="Times New Roman" w:cs="Times New Roman"/>
          <w:b/>
          <w:bCs/>
          <w:sz w:val="22"/>
        </w:rPr>
        <w:t>C</w:t>
      </w:r>
      <w:r>
        <w:rPr>
          <w:rFonts w:eastAsia="Times New Roman" w:cs="Times New Roman"/>
          <w:b/>
          <w:bCs/>
          <w:sz w:val="22"/>
        </w:rPr>
        <w:t>ONCLUSION</w:t>
      </w:r>
    </w:p>
    <w:p w14:paraId="7E072161" w14:textId="3EDC22E8" w:rsidR="00B542C1" w:rsidRPr="00B542C1" w:rsidRDefault="009F6495" w:rsidP="0052301E">
      <w:pPr>
        <w:spacing w:after="160" w:line="360" w:lineRule="auto"/>
        <w:jc w:val="both"/>
        <w:rPr>
          <w:sz w:val="22"/>
        </w:rPr>
      </w:pPr>
      <w:bookmarkStart w:id="0" w:name="_gjdgxs" w:colFirst="0" w:colLast="0"/>
      <w:bookmarkEnd w:id="0"/>
      <w:r>
        <w:rPr>
          <w:rFonts w:eastAsia="Times New Roman" w:cs="Times New Roman"/>
          <w:sz w:val="22"/>
        </w:rPr>
        <w:t>In order to allow EV</w:t>
      </w:r>
      <w:r w:rsidR="00424E08">
        <w:rPr>
          <w:rFonts w:eastAsia="Times New Roman" w:cs="Times New Roman"/>
          <w:sz w:val="22"/>
        </w:rPr>
        <w:t>s</w:t>
      </w:r>
      <w:r>
        <w:rPr>
          <w:rFonts w:eastAsia="Times New Roman" w:cs="Times New Roman"/>
          <w:sz w:val="22"/>
        </w:rPr>
        <w:t xml:space="preserve"> to refuel in ti</w:t>
      </w:r>
      <w:r w:rsidR="00146CBC">
        <w:rPr>
          <w:rFonts w:eastAsia="Times New Roman" w:cs="Times New Roman"/>
          <w:sz w:val="22"/>
        </w:rPr>
        <w:t>m</w:t>
      </w:r>
      <w:r>
        <w:rPr>
          <w:rFonts w:eastAsia="Times New Roman" w:cs="Times New Roman"/>
          <w:sz w:val="22"/>
        </w:rPr>
        <w:t>e frames comparable to those of fossil fuel vehicles, ultra</w:t>
      </w:r>
      <w:r w:rsidR="00424E08">
        <w:rPr>
          <w:rFonts w:eastAsia="Times New Roman" w:cs="Times New Roman"/>
          <w:sz w:val="22"/>
        </w:rPr>
        <w:t>-</w:t>
      </w:r>
      <w:r>
        <w:rPr>
          <w:rFonts w:eastAsia="Times New Roman" w:cs="Times New Roman"/>
          <w:sz w:val="22"/>
        </w:rPr>
        <w:t>high</w:t>
      </w:r>
      <w:r w:rsidR="001E35E9">
        <w:rPr>
          <w:rFonts w:eastAsia="Times New Roman" w:cs="Times New Roman"/>
          <w:sz w:val="22"/>
        </w:rPr>
        <w:t>-</w:t>
      </w:r>
      <w:r>
        <w:rPr>
          <w:rFonts w:eastAsia="Times New Roman" w:cs="Times New Roman"/>
          <w:sz w:val="22"/>
        </w:rPr>
        <w:t>speed charging infrastructure will be deploye</w:t>
      </w:r>
      <w:r w:rsidR="00146CBC">
        <w:rPr>
          <w:rFonts w:eastAsia="Times New Roman" w:cs="Times New Roman"/>
          <w:sz w:val="22"/>
        </w:rPr>
        <w:t xml:space="preserve">d and </w:t>
      </w:r>
      <w:r w:rsidR="00B542C1" w:rsidRPr="00B542C1">
        <w:rPr>
          <w:rFonts w:eastAsia="Times New Roman" w:cs="Times New Roman"/>
          <w:sz w:val="22"/>
        </w:rPr>
        <w:t xml:space="preserve">will hit the market within a decade. </w:t>
      </w:r>
      <w:r w:rsidR="008B173B">
        <w:rPr>
          <w:rFonts w:eastAsia="Times New Roman" w:cs="Times New Roman"/>
          <w:sz w:val="22"/>
        </w:rPr>
        <w:t>Simultaneously</w:t>
      </w:r>
      <w:r w:rsidR="00B542C1" w:rsidRPr="00B542C1">
        <w:rPr>
          <w:rFonts w:eastAsia="Times New Roman" w:cs="Times New Roman"/>
          <w:sz w:val="22"/>
        </w:rPr>
        <w:t>, battery chemistry, material</w:t>
      </w:r>
      <w:r w:rsidR="008B173B">
        <w:rPr>
          <w:rFonts w:eastAsia="Times New Roman" w:cs="Times New Roman"/>
          <w:sz w:val="22"/>
        </w:rPr>
        <w:t>s</w:t>
      </w:r>
      <w:r w:rsidR="00B542C1" w:rsidRPr="00B542C1">
        <w:rPr>
          <w:rFonts w:eastAsia="Times New Roman" w:cs="Times New Roman"/>
          <w:sz w:val="22"/>
        </w:rPr>
        <w:t xml:space="preserve"> and </w:t>
      </w:r>
      <w:r w:rsidR="008B173B">
        <w:rPr>
          <w:rFonts w:eastAsia="Times New Roman" w:cs="Times New Roman"/>
          <w:sz w:val="22"/>
        </w:rPr>
        <w:t xml:space="preserve">storage </w:t>
      </w:r>
      <w:r w:rsidR="00B542C1" w:rsidRPr="00B542C1">
        <w:rPr>
          <w:rFonts w:eastAsia="Times New Roman" w:cs="Times New Roman"/>
          <w:sz w:val="22"/>
        </w:rPr>
        <w:t xml:space="preserve">technology are clearly improving and may affect energy use and miles traveled </w:t>
      </w:r>
      <w:r w:rsidR="00E15F0A">
        <w:rPr>
          <w:rFonts w:eastAsia="Times New Roman" w:cs="Times New Roman"/>
          <w:sz w:val="22"/>
        </w:rPr>
        <w:t>per</w:t>
      </w:r>
      <w:r w:rsidR="00B542C1" w:rsidRPr="00B542C1">
        <w:rPr>
          <w:rFonts w:eastAsia="Times New Roman" w:cs="Times New Roman"/>
          <w:sz w:val="22"/>
        </w:rPr>
        <w:t xml:space="preserve"> kW of energy. These contradictory trends make planning difficult, but it reinforces the need for periodic technology reviews by the Commission that could affect the Long</w:t>
      </w:r>
      <w:r>
        <w:rPr>
          <w:rFonts w:eastAsia="Times New Roman" w:cs="Times New Roman"/>
          <w:sz w:val="22"/>
        </w:rPr>
        <w:t>-</w:t>
      </w:r>
      <w:r w:rsidR="00B542C1" w:rsidRPr="00B542C1">
        <w:rPr>
          <w:rFonts w:eastAsia="Times New Roman" w:cs="Times New Roman"/>
          <w:sz w:val="22"/>
        </w:rPr>
        <w:t xml:space="preserve">Term System Analysis and </w:t>
      </w:r>
      <w:r w:rsidR="008B173B">
        <w:rPr>
          <w:rFonts w:eastAsia="Times New Roman" w:cs="Times New Roman"/>
          <w:sz w:val="22"/>
        </w:rPr>
        <w:t xml:space="preserve">thus </w:t>
      </w:r>
      <w:r w:rsidR="00B542C1" w:rsidRPr="00B542C1">
        <w:rPr>
          <w:rFonts w:eastAsia="Times New Roman" w:cs="Times New Roman"/>
          <w:sz w:val="22"/>
        </w:rPr>
        <w:t>Commission policy.</w:t>
      </w:r>
    </w:p>
    <w:p w14:paraId="28042340" w14:textId="7C2DA45B" w:rsidR="009600B1" w:rsidRDefault="009600B1">
      <w:pPr>
        <w:spacing w:after="160" w:line="259" w:lineRule="auto"/>
        <w:ind w:firstLine="0"/>
        <w:rPr>
          <w:b/>
          <w:bCs/>
          <w:sz w:val="22"/>
          <w:lang w:val="en"/>
        </w:rPr>
      </w:pPr>
      <w:r>
        <w:rPr>
          <w:b/>
          <w:bCs/>
          <w:sz w:val="22"/>
          <w:lang w:val="en"/>
        </w:rPr>
        <w:br w:type="page"/>
      </w:r>
    </w:p>
    <w:p w14:paraId="3A0256D6" w14:textId="6B5E9EEF" w:rsidR="009F0940" w:rsidRPr="002C7CD3" w:rsidRDefault="00747A32" w:rsidP="000B5BFC">
      <w:pPr>
        <w:spacing w:line="360" w:lineRule="auto"/>
        <w:ind w:firstLine="0"/>
        <w:jc w:val="both"/>
        <w:rPr>
          <w:b/>
          <w:bCs/>
          <w:sz w:val="22"/>
          <w:lang w:val="en"/>
        </w:rPr>
      </w:pPr>
      <w:r w:rsidRPr="002C7CD3">
        <w:rPr>
          <w:b/>
          <w:bCs/>
          <w:sz w:val="22"/>
          <w:lang w:val="en"/>
        </w:rPr>
        <w:lastRenderedPageBreak/>
        <w:t>QUESTION #6</w:t>
      </w:r>
    </w:p>
    <w:p w14:paraId="2E53AD33" w14:textId="77777777" w:rsidR="00273038" w:rsidRPr="002C7CD3" w:rsidRDefault="00273038" w:rsidP="00FE0E92">
      <w:pPr>
        <w:spacing w:line="240" w:lineRule="auto"/>
        <w:ind w:firstLine="0"/>
        <w:rPr>
          <w:b/>
          <w:bCs/>
          <w:sz w:val="22"/>
        </w:rPr>
      </w:pPr>
      <w:r w:rsidRPr="002C7CD3">
        <w:rPr>
          <w:b/>
          <w:bCs/>
          <w:sz w:val="22"/>
        </w:rPr>
        <w:t>The Commission requests that parties provide a detailed explanation on the following items:</w:t>
      </w:r>
    </w:p>
    <w:p w14:paraId="5B283C17" w14:textId="77777777" w:rsidR="00273038" w:rsidRPr="002C7CD3" w:rsidRDefault="00273038" w:rsidP="00FE0E92">
      <w:pPr>
        <w:pStyle w:val="ListParagraph"/>
        <w:numPr>
          <w:ilvl w:val="0"/>
          <w:numId w:val="12"/>
        </w:numPr>
        <w:spacing w:line="240" w:lineRule="auto"/>
        <w:rPr>
          <w:b/>
          <w:bCs/>
          <w:sz w:val="22"/>
        </w:rPr>
      </w:pPr>
      <w:r w:rsidRPr="002C7CD3">
        <w:rPr>
          <w:b/>
          <w:bCs/>
          <w:sz w:val="22"/>
        </w:rPr>
        <w:t>The anticipated impacts of electric charging, including residential and commercial charging stations on the distribution system;</w:t>
      </w:r>
    </w:p>
    <w:p w14:paraId="319631E5" w14:textId="77777777" w:rsidR="00273038" w:rsidRPr="002C7CD3" w:rsidRDefault="00273038" w:rsidP="00FE0E92">
      <w:pPr>
        <w:pStyle w:val="ListParagraph"/>
        <w:numPr>
          <w:ilvl w:val="0"/>
          <w:numId w:val="12"/>
        </w:numPr>
        <w:spacing w:line="240" w:lineRule="auto"/>
        <w:rPr>
          <w:b/>
          <w:bCs/>
          <w:sz w:val="22"/>
        </w:rPr>
      </w:pPr>
      <w:r w:rsidRPr="002C7CD3">
        <w:rPr>
          <w:b/>
          <w:bCs/>
          <w:sz w:val="22"/>
        </w:rPr>
        <w:t>The anticipated impact of electric vehicle charging stations on the transmission system in the next ten years; and</w:t>
      </w:r>
    </w:p>
    <w:p w14:paraId="6A04FB7A" w14:textId="77777777" w:rsidR="00273038" w:rsidRPr="002C7CD3" w:rsidRDefault="00273038" w:rsidP="00FE0E92">
      <w:pPr>
        <w:pStyle w:val="ListParagraph"/>
        <w:numPr>
          <w:ilvl w:val="0"/>
          <w:numId w:val="12"/>
        </w:numPr>
        <w:spacing w:line="240" w:lineRule="auto"/>
        <w:rPr>
          <w:b/>
          <w:bCs/>
          <w:sz w:val="22"/>
        </w:rPr>
      </w:pPr>
      <w:r w:rsidRPr="002C7CD3">
        <w:rPr>
          <w:b/>
          <w:bCs/>
          <w:sz w:val="22"/>
        </w:rPr>
        <w:t>The anticipated impact of electric vehicle charging stations on long-term system planning at the regional transmission organization level, given a widespread adoption scenario.</w:t>
      </w:r>
    </w:p>
    <w:p w14:paraId="5C3056A1" w14:textId="77777777" w:rsidR="00273038" w:rsidRPr="002C7CD3" w:rsidRDefault="00273038" w:rsidP="000B5BFC">
      <w:pPr>
        <w:spacing w:before="240" w:line="360" w:lineRule="auto"/>
        <w:jc w:val="both"/>
        <w:rPr>
          <w:rFonts w:eastAsia="Times New Roman"/>
          <w:sz w:val="22"/>
        </w:rPr>
      </w:pPr>
      <w:r w:rsidRPr="002C7CD3">
        <w:rPr>
          <w:rFonts w:eastAsia="Times New Roman"/>
          <w:sz w:val="22"/>
        </w:rPr>
        <w:t>The power grid is used to transport electricity from power plants to electric customers and has two major components. The first component is the transmission system, and it is made up of high voltage power lines that transport electricity from power plants and renewable energy farms to electrical substations located throughout the state. The ERCOT system has over 40,000 miles of electric transmission lines operating between 69,000 Volts and 345,000 Volts.  In general, transmission lines operating at higher voltages can carry more power (refer to “B. Transmission” in Figure 1).</w:t>
      </w:r>
    </w:p>
    <w:p w14:paraId="45783A20" w14:textId="6643BDDB" w:rsidR="00273038" w:rsidRPr="002C7CD3" w:rsidRDefault="00273038" w:rsidP="000B5BFC">
      <w:pPr>
        <w:spacing w:line="360" w:lineRule="auto"/>
        <w:jc w:val="both"/>
        <w:rPr>
          <w:rFonts w:eastAsia="Times New Roman"/>
          <w:sz w:val="22"/>
        </w:rPr>
      </w:pPr>
      <w:r w:rsidRPr="002C7CD3">
        <w:rPr>
          <w:rFonts w:eastAsia="Times New Roman"/>
          <w:sz w:val="22"/>
        </w:rPr>
        <w:t>At electrical substations, high voltage power on</w:t>
      </w:r>
      <w:r w:rsidR="00616682">
        <w:rPr>
          <w:rFonts w:eastAsia="Times New Roman"/>
          <w:sz w:val="22"/>
        </w:rPr>
        <w:t xml:space="preserve"> the</w:t>
      </w:r>
      <w:r w:rsidRPr="002C7CD3">
        <w:rPr>
          <w:rFonts w:eastAsia="Times New Roman"/>
          <w:sz w:val="22"/>
        </w:rPr>
        <w:t xml:space="preserve"> transmission system is lowered and delivered to electric customers across the second major component of the grid called the distribution system. In urban areas, some distribution systems can operate at voltages as high as 35,000 Volts but most distribution systems in ERCOT are designed to operate at 25,000 Volts or 12,500 Volts. (refer to “C. Distribution” in Figure 1). The voltages are reduced further by distribution service provide</w:t>
      </w:r>
      <w:r w:rsidR="00C41607">
        <w:rPr>
          <w:rFonts w:eastAsia="Times New Roman"/>
          <w:sz w:val="22"/>
        </w:rPr>
        <w:t>rs</w:t>
      </w:r>
      <w:r w:rsidRPr="002C7CD3">
        <w:rPr>
          <w:rFonts w:eastAsia="Times New Roman"/>
          <w:sz w:val="22"/>
        </w:rPr>
        <w:t xml:space="preserve"> to less than 500 Volts to provide single or three phase service to retail loads.</w:t>
      </w:r>
    </w:p>
    <w:p w14:paraId="69B84821" w14:textId="49B1931B" w:rsidR="00273038" w:rsidRPr="002C7CD3" w:rsidRDefault="00273038" w:rsidP="000B5BFC">
      <w:pPr>
        <w:spacing w:line="360" w:lineRule="auto"/>
        <w:jc w:val="both"/>
        <w:rPr>
          <w:rFonts w:eastAsia="Times New Roman"/>
          <w:sz w:val="22"/>
        </w:rPr>
      </w:pPr>
      <w:r w:rsidRPr="002C7CD3">
        <w:rPr>
          <w:rFonts w:eastAsia="Times New Roman"/>
          <w:sz w:val="22"/>
        </w:rPr>
        <w:t>Level 1 Electric Vehicle (EV) charging systems require the common 120 Volt plug, while Level 2 EV charging requires 240 Volt service (like most household electric clothes dryers, electric ovens and other large appliances). Distribution lines serving Level 3 Direct Current Fast Charging (DCFC) stations need to have three separate wires or phases to carry power (at larger capacity) and a neutral or ground wire on the same pole or in the same conduit.</w:t>
      </w:r>
    </w:p>
    <w:p w14:paraId="5DB41086" w14:textId="3C654F58" w:rsidR="00273038" w:rsidRPr="002C7CD3" w:rsidRDefault="00273038" w:rsidP="000B5BFC">
      <w:pPr>
        <w:spacing w:line="360" w:lineRule="auto"/>
        <w:ind w:firstLine="0"/>
        <w:jc w:val="center"/>
        <w:rPr>
          <w:rFonts w:eastAsia="Times New Roman"/>
          <w:noProof/>
          <w:color w:val="000000"/>
          <w:sz w:val="22"/>
        </w:rPr>
      </w:pPr>
      <w:r w:rsidRPr="002C7CD3">
        <w:rPr>
          <w:rFonts w:eastAsia="Times New Roman"/>
          <w:noProof/>
          <w:color w:val="000000"/>
          <w:sz w:val="22"/>
        </w:rPr>
        <w:lastRenderedPageBreak/>
        <w:drawing>
          <wp:anchor distT="0" distB="0" distL="114300" distR="114300" simplePos="0" relativeHeight="251659264" behindDoc="1" locked="0" layoutInCell="1" allowOverlap="1" wp14:anchorId="5FEACC27" wp14:editId="4DA6EE73">
            <wp:simplePos x="0" y="0"/>
            <wp:positionH relativeFrom="column">
              <wp:posOffset>108585</wp:posOffset>
            </wp:positionH>
            <wp:positionV relativeFrom="paragraph">
              <wp:posOffset>152588</wp:posOffset>
            </wp:positionV>
            <wp:extent cx="5533593" cy="5120640"/>
            <wp:effectExtent l="152400" t="152400" r="353060" b="365760"/>
            <wp:wrapTopAndBottom/>
            <wp:docPr id="27" name="Picture 27" descr="https://lh3.googleusercontent.com/vZUkOAc-B2tYWwTCowSpmUeX-NfoVWxHrLTu79kJSGllsTWtyyF0-_45ui1yXjyLWHvXPhMd5Lf25Zp8dpaxsr0n5iqAXZcsWvYcX8v5su_nvoKR3XMUOfBrK2JRI2NR8KDGTuj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vZUkOAc-B2tYWwTCowSpmUeX-NfoVWxHrLTu79kJSGllsTWtyyF0-_45ui1yXjyLWHvXPhMd5Lf25Zp8dpaxsr0n5iqAXZcsWvYcX8v5su_nvoKR3XMUOfBrK2JRI2NR8KDGTujk"/>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33593" cy="512064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2C7CD3">
        <w:rPr>
          <w:rFonts w:eastAsia="Times New Roman"/>
          <w:noProof/>
          <w:color w:val="000000"/>
          <w:sz w:val="22"/>
        </w:rPr>
        <w:t>Figure 1</w:t>
      </w:r>
    </w:p>
    <w:p w14:paraId="0F32598C" w14:textId="73CEA8E5" w:rsidR="00273038" w:rsidRPr="002C7CD3" w:rsidRDefault="00273038" w:rsidP="00834A70">
      <w:pPr>
        <w:spacing w:before="240" w:line="360" w:lineRule="auto"/>
        <w:jc w:val="both"/>
        <w:rPr>
          <w:sz w:val="22"/>
        </w:rPr>
      </w:pPr>
      <w:r w:rsidRPr="002C7CD3">
        <w:rPr>
          <w:sz w:val="22"/>
        </w:rPr>
        <w:t xml:space="preserve">For EV charging at home, there are no insurmountable limitations in the distribution system. Upgrades to these systems may be required, but the incremental electric vehicle charging load is being offset to some degree by lower loads from more efficient LED lighting, home insulation, and HVAC load. The bulk power system and distribution systems have been repeatedly upgraded over the past century for new loads starting with basic lighting a century ago, then home kitchen automation, then TVs, and then with  air conditioning.  Utilities have been very adept at upgrading circuits over time. If there is clustering of PEVs on a distribution transformer, the local utility can upgrade the transformer and maybe the circuit, but there is no technology breakthrough required. However, </w:t>
      </w:r>
      <w:bookmarkStart w:id="1" w:name="_Hlk31612902"/>
      <w:r w:rsidRPr="002C7CD3">
        <w:rPr>
          <w:sz w:val="22"/>
        </w:rPr>
        <w:t xml:space="preserve">a common set of tools and processes should be developed for collecting EV charging information and determining these impacts. Utilities can apply more </w:t>
      </w:r>
      <w:r w:rsidRPr="002C7CD3">
        <w:rPr>
          <w:sz w:val="22"/>
        </w:rPr>
        <w:lastRenderedPageBreak/>
        <w:t>cost-effective alternatives to the required upgrades including demand response, intelligent charging, re-distribution of load across feeders, etc.</w:t>
      </w:r>
    </w:p>
    <w:bookmarkEnd w:id="1"/>
    <w:p w14:paraId="19A212D9" w14:textId="77777777" w:rsidR="00273038" w:rsidRPr="002C7CD3" w:rsidRDefault="00273038" w:rsidP="000B5BFC">
      <w:pPr>
        <w:spacing w:line="360" w:lineRule="auto"/>
        <w:jc w:val="both"/>
        <w:rPr>
          <w:rFonts w:eastAsia="Times New Roman"/>
          <w:sz w:val="22"/>
        </w:rPr>
      </w:pPr>
      <w:r w:rsidRPr="002C7CD3">
        <w:rPr>
          <w:rFonts w:eastAsia="Times New Roman"/>
          <w:sz w:val="22"/>
        </w:rPr>
        <w:t>The impact that DCFC stations will have on the grid will be different for light duty vehicles (LDVs) such as cars than heavy-duty vehicles such as trucks.</w:t>
      </w:r>
      <w:r w:rsidRPr="002C7CD3">
        <w:rPr>
          <w:rFonts w:eastAsia="Times New Roman"/>
          <w:b/>
          <w:sz w:val="22"/>
        </w:rPr>
        <w:t xml:space="preserve"> </w:t>
      </w:r>
      <w:r w:rsidRPr="002C7CD3">
        <w:rPr>
          <w:rFonts w:eastAsia="Times New Roman"/>
          <w:sz w:val="22"/>
        </w:rPr>
        <w:t xml:space="preserve">The impacts to the grid will also vary based upon the number of DCFC stations in a particular location and the charging time for the vehicles. </w:t>
      </w:r>
    </w:p>
    <w:p w14:paraId="79B9D124" w14:textId="77777777" w:rsidR="00273038" w:rsidRPr="002C7CD3" w:rsidRDefault="00273038" w:rsidP="000B5BFC">
      <w:pPr>
        <w:spacing w:line="360" w:lineRule="auto"/>
        <w:jc w:val="both"/>
        <w:rPr>
          <w:rFonts w:eastAsia="Times New Roman"/>
          <w:sz w:val="22"/>
        </w:rPr>
      </w:pPr>
      <w:r w:rsidRPr="002C7CD3">
        <w:rPr>
          <w:rFonts w:eastAsia="Times New Roman"/>
          <w:sz w:val="22"/>
        </w:rPr>
        <w:t>A DCFC station will connect to the local distribution system in the area through a series of devices which will need to be properly sized to meet the charging demand (see Figure 2). A DCFC station with six 50-kW chargers would have a peak demand of 300 kW and a station with six 150-kW would have peak demand of 900-kW. For comparison, a large travel center or truck stop may have a maximum demand of 500-kW and a large retail store may have a demand of 1,000 kW. The City of Luling, located on IH-10 between San Antonio and Houston, has a population of 5,878 and has a peak electric demand just over 12,000 kW (or 12 MW).  While the addition of DCFC stations are significant, large spot load additions are not uncommon in Texas. Examples of large load additions in the state in recent years include natural gas compression stations, oil rig pumps, LNG plants, and computing/data centers.</w:t>
      </w:r>
    </w:p>
    <w:p w14:paraId="15A1C953" w14:textId="15EED08C" w:rsidR="00273038" w:rsidRPr="002C7CD3" w:rsidRDefault="00273038" w:rsidP="000B5BFC">
      <w:pPr>
        <w:spacing w:line="360" w:lineRule="auto"/>
        <w:ind w:firstLine="0"/>
        <w:jc w:val="center"/>
        <w:rPr>
          <w:rFonts w:eastAsia="Times New Roman"/>
          <w:color w:val="000000"/>
          <w:sz w:val="22"/>
        </w:rPr>
      </w:pPr>
      <w:r w:rsidRPr="00610C40">
        <w:rPr>
          <w:rFonts w:eastAsia="Times New Roman"/>
          <w:noProof/>
          <w:color w:val="434343"/>
        </w:rPr>
        <w:drawing>
          <wp:inline distT="0" distB="0" distL="0" distR="0" wp14:anchorId="5B895640" wp14:editId="3EBEC74B">
            <wp:extent cx="5943600" cy="3429000"/>
            <wp:effectExtent l="152400" t="152400" r="361950" b="361950"/>
            <wp:docPr id="28" name="Picture 28" descr="https://lh5.googleusercontent.com/8q9lQjoiCvO2BHdOkZCjLTy31eklahXfBBmI_bIjchXD9YxlU7ZQjA1dOfIuWXRSX4AtE0Yfd_A7b7nNoBofl81wyJWXUEOEdJJFkRhEzuBHb0SaCXSmGxzv1wTG1URajVUaA3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5.googleusercontent.com/8q9lQjoiCvO2BHdOkZCjLTy31eklahXfBBmI_bIjchXD9YxlU7ZQjA1dOfIuWXRSX4AtE0Yfd_A7b7nNoBofl81wyJWXUEOEdJJFkRhEzuBHb0SaCXSmGxzv1wTG1URajVUaA3Db"/>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3429000"/>
                    </a:xfrm>
                    <a:prstGeom prst="rect">
                      <a:avLst/>
                    </a:prstGeom>
                    <a:ln>
                      <a:noFill/>
                    </a:ln>
                    <a:effectLst>
                      <a:outerShdw blurRad="292100" dist="139700" dir="2700000" algn="tl" rotWithShape="0">
                        <a:srgbClr val="333333">
                          <a:alpha val="65000"/>
                        </a:srgbClr>
                      </a:outerShdw>
                    </a:effectLst>
                  </pic:spPr>
                </pic:pic>
              </a:graphicData>
            </a:graphic>
          </wp:inline>
        </w:drawing>
      </w:r>
      <w:r w:rsidRPr="002C7CD3">
        <w:rPr>
          <w:rFonts w:eastAsia="Times New Roman"/>
          <w:color w:val="000000"/>
          <w:sz w:val="22"/>
        </w:rPr>
        <w:t>Figure 2</w:t>
      </w:r>
    </w:p>
    <w:p w14:paraId="6602F7B9" w14:textId="77777777" w:rsidR="006E564D" w:rsidRDefault="00C076D4" w:rsidP="006E564D">
      <w:pPr>
        <w:spacing w:line="360" w:lineRule="auto"/>
        <w:jc w:val="both"/>
        <w:rPr>
          <w:sz w:val="22"/>
        </w:rPr>
      </w:pPr>
      <w:r>
        <w:rPr>
          <w:sz w:val="22"/>
        </w:rPr>
        <w:t>As noted previously, i</w:t>
      </w:r>
      <w:r w:rsidR="00273038" w:rsidRPr="002C7CD3">
        <w:rPr>
          <w:sz w:val="22"/>
        </w:rPr>
        <w:t xml:space="preserve">n some areas, individual Level 1 and 2 charging has minimal grid impacts.  In older or smaller capacity feeders, there may be a need to change transformers and cabling for EVs as </w:t>
      </w:r>
      <w:r w:rsidR="00273038" w:rsidRPr="002C7CD3">
        <w:rPr>
          <w:sz w:val="22"/>
        </w:rPr>
        <w:lastRenderedPageBreak/>
        <w:t>well as for distributed generation and other customer needs. Stations with multiple high power DCFC can present challenges to the distribution system in some cases.  Typically, these deployments will require some distribution system upgrades to deploy including transformers and conduit. In some locations, the local substation may need to be upgraded.  When siting DCFC stations an analysis of the power availability should always be an early step and a requirement for applicants</w:t>
      </w:r>
      <w:r w:rsidR="006E564D">
        <w:rPr>
          <w:sz w:val="22"/>
        </w:rPr>
        <w:t>.</w:t>
      </w:r>
    </w:p>
    <w:p w14:paraId="3DBF7877" w14:textId="3A369871" w:rsidR="00273038" w:rsidRPr="006E564D" w:rsidRDefault="00273038" w:rsidP="006E564D">
      <w:pPr>
        <w:spacing w:line="360" w:lineRule="auto"/>
        <w:jc w:val="both"/>
        <w:rPr>
          <w:sz w:val="22"/>
        </w:rPr>
      </w:pPr>
      <w:r w:rsidRPr="002C7CD3">
        <w:rPr>
          <w:rFonts w:eastAsia="Times New Roman" w:cs="Times New Roman"/>
          <w:sz w:val="22"/>
        </w:rPr>
        <w:t xml:space="preserve">Smart EV charging equipment often has charge management capabilities.  Utilities </w:t>
      </w:r>
      <w:r w:rsidR="006E564D">
        <w:rPr>
          <w:rFonts w:eastAsia="Times New Roman" w:cs="Times New Roman"/>
          <w:sz w:val="22"/>
        </w:rPr>
        <w:t xml:space="preserve">and/or retail electric providers </w:t>
      </w:r>
      <w:r w:rsidRPr="002C7CD3">
        <w:rPr>
          <w:rFonts w:eastAsia="Times New Roman" w:cs="Times New Roman"/>
          <w:sz w:val="22"/>
        </w:rPr>
        <w:t xml:space="preserve">can develop programs to utilize the ability to curtail load from participating residential customers charging to help mitigate grid impacts in certain circumstances.  EV charging infrastructure developers should inquire with the site’s electricity provider to learn about and </w:t>
      </w:r>
      <w:r w:rsidR="006E564D">
        <w:rPr>
          <w:rFonts w:eastAsia="Times New Roman" w:cs="Times New Roman"/>
          <w:sz w:val="22"/>
        </w:rPr>
        <w:t>use</w:t>
      </w:r>
      <w:r w:rsidRPr="002C7CD3">
        <w:rPr>
          <w:rFonts w:eastAsia="Times New Roman" w:cs="Times New Roman"/>
          <w:sz w:val="22"/>
        </w:rPr>
        <w:t xml:space="preserve"> any such programs.</w:t>
      </w:r>
      <w:r w:rsidRPr="002C7CD3" w:rsidDel="001C73D4">
        <w:rPr>
          <w:rFonts w:cs="Times New Roman"/>
          <w:color w:val="000000" w:themeColor="text1"/>
          <w:sz w:val="22"/>
        </w:rPr>
        <w:t xml:space="preserve"> </w:t>
      </w:r>
      <w:r w:rsidRPr="002C7CD3">
        <w:rPr>
          <w:rFonts w:cs="Times New Roman"/>
          <w:color w:val="000000" w:themeColor="text1"/>
          <w:sz w:val="22"/>
        </w:rPr>
        <w:t>In the case of DCFCs, electric providers may send price signals to discourage charging during tight supply conditions. DCFC will typically be installed by owners who have Commercial and Industrial (C&amp;I) tariffs. These C&amp;I tariffs incorporate peak kW demand charges as well as kWh energy charges.  These peak kW demand charges create an incentive for the DCFC to reduce peak grid stress by managing the charging or installing behind-the-meter battery storage. For all levels of EV charging, the grid operator may also implement load curtailments to EV chargers prior to a rolling blackout event.</w:t>
      </w:r>
    </w:p>
    <w:p w14:paraId="2B9F2D27" w14:textId="77777777" w:rsidR="00273038" w:rsidRPr="002C7CD3" w:rsidRDefault="00273038" w:rsidP="00834A70">
      <w:pPr>
        <w:pStyle w:val="NoSpacing"/>
        <w:spacing w:before="240" w:line="360" w:lineRule="auto"/>
        <w:jc w:val="both"/>
        <w:rPr>
          <w:rFonts w:ascii="Times New Roman" w:hAnsi="Times New Roman" w:cs="Times New Roman"/>
          <w:b/>
          <w:bCs/>
          <w:color w:val="000000" w:themeColor="text1"/>
          <w:sz w:val="22"/>
          <w:szCs w:val="22"/>
        </w:rPr>
      </w:pPr>
      <w:r w:rsidRPr="002C7CD3">
        <w:rPr>
          <w:rFonts w:ascii="Times New Roman" w:hAnsi="Times New Roman" w:cs="Times New Roman"/>
          <w:b/>
          <w:bCs/>
          <w:color w:val="000000" w:themeColor="text1"/>
          <w:sz w:val="22"/>
          <w:szCs w:val="22"/>
        </w:rPr>
        <w:t>FLEET CHARGING REQUIREMENTS</w:t>
      </w:r>
    </w:p>
    <w:p w14:paraId="1493F13C" w14:textId="2887BD29" w:rsidR="00273038" w:rsidRPr="002C7CD3" w:rsidRDefault="00273038" w:rsidP="000B5BFC">
      <w:pPr>
        <w:spacing w:line="360" w:lineRule="auto"/>
        <w:jc w:val="both"/>
        <w:rPr>
          <w:sz w:val="22"/>
        </w:rPr>
      </w:pPr>
      <w:r w:rsidRPr="002C7CD3">
        <w:rPr>
          <w:sz w:val="22"/>
        </w:rPr>
        <w:t xml:space="preserve">Electric vehicle fleets such as those being announced by Amazon and UPS have a higher impact on the grid than low charge rate residential Level 1 and 2 distributed vehicles. A delivery van depot with Level 2 – 240V service where the vehicles sit for several hours at a time and can “top off” the battery charge will not require a dedicated 3-phase (large capacity) upgrade. The next level of short-haul medium to heavy duty overnight depot including large buses (“Municipal” services) may require DCFC charging since they are likely to drain their batteries in the course of the day and will require 50 kW to 150 kW (or higher) capacity chargers.  A fleet </w:t>
      </w:r>
      <w:r w:rsidR="006E564D">
        <w:rPr>
          <w:sz w:val="22"/>
        </w:rPr>
        <w:t>of</w:t>
      </w:r>
      <w:r w:rsidRPr="002C7CD3">
        <w:rPr>
          <w:sz w:val="22"/>
        </w:rPr>
        <w:t xml:space="preserve"> 30 such vehicles in a single charging depot amount to close to 5 MW of power.  The largest depots with DCFC charging systems in excess of 250 kW per charger, or Hot Spots, can require their own distribution substation similar to those required by large industrial consumers (see D. Commercial and Industrials in Figure 1).  </w:t>
      </w:r>
    </w:p>
    <w:p w14:paraId="0A9A49E4" w14:textId="77777777" w:rsidR="00273038" w:rsidRPr="002C7CD3" w:rsidRDefault="00273038" w:rsidP="000B5BFC">
      <w:pPr>
        <w:spacing w:line="360" w:lineRule="auto"/>
        <w:jc w:val="both"/>
        <w:rPr>
          <w:sz w:val="22"/>
        </w:rPr>
      </w:pPr>
      <w:r w:rsidRPr="002C7CD3">
        <w:rPr>
          <w:sz w:val="22"/>
        </w:rPr>
        <w:t xml:space="preserve">The impact of the larger depot and regional/long haul DCFCs on both the transmission and distribution system is not very different than the impact of other industrial loads. Demand tariffs and feeder extension charges may apply to these customers to recover the incremental cost of the grid. Utilities (TDSPs, Munis and Coops) perform the required studies to determine the capacity of the local grid and the ability to support the new loads. To the extent significant and long-lead upgrades are needed, the local utility provides the estimated impact to the customer and, in turn, the customer can decide if an alternative location is more appropriate. Utilities can also forecast their light-duty distribution feeder growth for EV </w:t>
      </w:r>
      <w:r w:rsidRPr="002C7CD3">
        <w:rPr>
          <w:sz w:val="22"/>
        </w:rPr>
        <w:lastRenderedPageBreak/>
        <w:t>charging at homes and businesses, and they can then “aggregate” all of the large DCFC, Hot Spots, and distribution feeder growth and provide its projections to ERCOT (or other independent organizations as appropriate)</w:t>
      </w:r>
    </w:p>
    <w:p w14:paraId="5C11610E" w14:textId="77777777" w:rsidR="00273038" w:rsidRPr="002C7CD3" w:rsidRDefault="00273038" w:rsidP="000B5BFC">
      <w:pPr>
        <w:spacing w:line="360" w:lineRule="auto"/>
        <w:jc w:val="both"/>
        <w:rPr>
          <w:sz w:val="22"/>
        </w:rPr>
      </w:pPr>
      <w:r w:rsidRPr="002C7CD3">
        <w:rPr>
          <w:sz w:val="22"/>
        </w:rPr>
        <w:t>Through its Regional Planning process, ERCOT can work with multiple Utilities in determining the need and timing for large transmission upgrades, if required.  The costs associated with upgrades would be treated in the same manner other T&amp;D investments are treated to serve small and large electricity consumers.</w:t>
      </w:r>
    </w:p>
    <w:p w14:paraId="21C53CE4" w14:textId="7A96C5D4" w:rsidR="00273038" w:rsidRPr="002C7CD3" w:rsidRDefault="00273038" w:rsidP="000B5BFC">
      <w:pPr>
        <w:spacing w:line="360" w:lineRule="auto"/>
        <w:jc w:val="both"/>
        <w:rPr>
          <w:sz w:val="22"/>
        </w:rPr>
      </w:pPr>
      <w:r w:rsidRPr="002C7CD3">
        <w:rPr>
          <w:sz w:val="22"/>
        </w:rPr>
        <w:t xml:space="preserve">In order to provide a comprehensive estimate of the overall impact of large DCFC installations on the grid including loads from medium/heavy duty electric vehicles, </w:t>
      </w:r>
      <w:r w:rsidRPr="002C7CD3">
        <w:rPr>
          <w:b/>
          <w:sz w:val="22"/>
        </w:rPr>
        <w:t>TxETRA recommends</w:t>
      </w:r>
      <w:r w:rsidRPr="002C7CD3">
        <w:rPr>
          <w:sz w:val="22"/>
        </w:rPr>
        <w:t xml:space="preserve"> a study be directed by the </w:t>
      </w:r>
      <w:r w:rsidR="00424E08">
        <w:rPr>
          <w:sz w:val="22"/>
        </w:rPr>
        <w:t>Commission</w:t>
      </w:r>
      <w:r w:rsidRPr="002C7CD3">
        <w:rPr>
          <w:sz w:val="22"/>
        </w:rPr>
        <w:t xml:space="preserve">. Texas utilities can provide their individual forecasts for the integration of DCFCs, and the regional organization (such as ERCOT and SPP) can perform the data aggregation and the studies required to determine </w:t>
      </w:r>
      <w:r w:rsidR="003C0B8A">
        <w:rPr>
          <w:sz w:val="22"/>
        </w:rPr>
        <w:t xml:space="preserve">the </w:t>
      </w:r>
      <w:r w:rsidRPr="002C7CD3">
        <w:rPr>
          <w:sz w:val="22"/>
        </w:rPr>
        <w:t>overall impact on the reliability of the system and the ability to serve incremental load.  Given the ERCOT market, DCFC depots that require day-time charging may  be incented to avoid high demand (transmission) and electricity charges, so a careful review of the anticipated behavior of on-peak vs. off-peak charging is also important.</w:t>
      </w:r>
    </w:p>
    <w:p w14:paraId="1F5684E0" w14:textId="36A669B2" w:rsidR="007C5C6C" w:rsidRDefault="00273038" w:rsidP="007C5C6C">
      <w:pPr>
        <w:spacing w:line="360" w:lineRule="auto"/>
        <w:jc w:val="both"/>
        <w:rPr>
          <w:sz w:val="22"/>
        </w:rPr>
      </w:pPr>
      <w:r w:rsidRPr="002C7CD3">
        <w:rPr>
          <w:b/>
          <w:sz w:val="22"/>
        </w:rPr>
        <w:t>TxETRA also recommends</w:t>
      </w:r>
      <w:r w:rsidRPr="002C7CD3">
        <w:rPr>
          <w:sz w:val="22"/>
        </w:rPr>
        <w:t xml:space="preserve"> the </w:t>
      </w:r>
      <w:r w:rsidR="00424E08">
        <w:rPr>
          <w:sz w:val="22"/>
        </w:rPr>
        <w:t>Commission</w:t>
      </w:r>
      <w:r w:rsidRPr="002C7CD3">
        <w:rPr>
          <w:sz w:val="22"/>
        </w:rPr>
        <w:t xml:space="preserve"> request that TDSPs work with providers of</w:t>
      </w:r>
      <w:r w:rsidR="00146CBC">
        <w:rPr>
          <w:sz w:val="22"/>
        </w:rPr>
        <w:t xml:space="preserve"> proposed </w:t>
      </w:r>
      <w:r w:rsidRPr="002C7CD3">
        <w:rPr>
          <w:sz w:val="22"/>
        </w:rPr>
        <w:t xml:space="preserve"> electric charging stations to identify where the grid is adequate to handle the additional load for DCFC fast charging stations for light duty charging depots (in the 5 MW range) and heavy duty charging depots (in the 10-20 MW range) along the highways of interest</w:t>
      </w:r>
      <w:r w:rsidRPr="002C7CD3">
        <w:rPr>
          <w:rFonts w:eastAsia="Times New Roman"/>
          <w:sz w:val="22"/>
        </w:rPr>
        <w:t>.  These developers of highway charging depots can then review optional interconnecting sites where charging drivers have reasonable proximity to amenities such as restaurants and other roadside attractions before making a final decision. The proximity of the charging depots to the substations where the grid can handle incremental loads will also reduce the impact of long</w:t>
      </w:r>
      <w:r w:rsidR="003C0B8A">
        <w:rPr>
          <w:rFonts w:eastAsia="Times New Roman"/>
          <w:sz w:val="22"/>
        </w:rPr>
        <w:t>-</w:t>
      </w:r>
      <w:r w:rsidRPr="002C7CD3">
        <w:rPr>
          <w:rFonts w:eastAsia="Times New Roman"/>
          <w:sz w:val="22"/>
        </w:rPr>
        <w:t>distance transmission or distribution lines and/or reinforcements to existing ones due to poor siting decisions.</w:t>
      </w:r>
      <w:r w:rsidRPr="002C7CD3" w:rsidDel="001C73D4">
        <w:rPr>
          <w:sz w:val="22"/>
        </w:rPr>
        <w:t xml:space="preserve"> </w:t>
      </w:r>
    </w:p>
    <w:p w14:paraId="417BC31E" w14:textId="308334AD" w:rsidR="005533FC" w:rsidRPr="007C5C6C" w:rsidRDefault="00273038" w:rsidP="007C5C6C">
      <w:pPr>
        <w:spacing w:line="360" w:lineRule="auto"/>
        <w:jc w:val="both"/>
        <w:rPr>
          <w:sz w:val="22"/>
        </w:rPr>
      </w:pPr>
      <w:r w:rsidRPr="002C7CD3">
        <w:rPr>
          <w:rFonts w:cs="Times New Roman"/>
          <w:color w:val="000000" w:themeColor="text1"/>
          <w:sz w:val="22"/>
        </w:rPr>
        <w:t xml:space="preserve">Standard practice by </w:t>
      </w:r>
      <w:r w:rsidR="003C0B8A">
        <w:rPr>
          <w:rFonts w:cs="Times New Roman"/>
          <w:color w:val="000000" w:themeColor="text1"/>
          <w:sz w:val="22"/>
        </w:rPr>
        <w:t>u</w:t>
      </w:r>
      <w:r w:rsidRPr="002C7CD3">
        <w:rPr>
          <w:rFonts w:cs="Times New Roman"/>
          <w:color w:val="000000" w:themeColor="text1"/>
          <w:sz w:val="22"/>
        </w:rPr>
        <w:t>tilities is to provide information for siting decisions to EV infrastructure developers to help guide their siting decisions and to avoid the cost of line extensions.</w:t>
      </w:r>
    </w:p>
    <w:p w14:paraId="1874E0E0" w14:textId="77777777" w:rsidR="005533FC" w:rsidRDefault="005533FC" w:rsidP="000B5BFC">
      <w:pPr>
        <w:spacing w:after="160" w:line="360" w:lineRule="auto"/>
        <w:ind w:firstLine="0"/>
        <w:rPr>
          <w:rFonts w:eastAsiaTheme="minorEastAsia" w:cs="Times New Roman"/>
          <w:color w:val="000000" w:themeColor="text1"/>
          <w:szCs w:val="24"/>
        </w:rPr>
      </w:pPr>
      <w:r>
        <w:rPr>
          <w:rFonts w:cs="Times New Roman"/>
          <w:color w:val="000000" w:themeColor="text1"/>
          <w:szCs w:val="24"/>
        </w:rPr>
        <w:br w:type="page"/>
      </w:r>
    </w:p>
    <w:p w14:paraId="58C62097" w14:textId="0AF4541A" w:rsidR="00273038" w:rsidRPr="002C7CD3" w:rsidRDefault="005533FC" w:rsidP="000B5BFC">
      <w:pPr>
        <w:pStyle w:val="NoSpacing"/>
        <w:spacing w:line="360" w:lineRule="auto"/>
        <w:jc w:val="both"/>
        <w:rPr>
          <w:rFonts w:ascii="Times New Roman" w:hAnsi="Times New Roman" w:cs="Times New Roman"/>
          <w:b/>
          <w:bCs/>
          <w:color w:val="000000" w:themeColor="text1"/>
          <w:sz w:val="22"/>
          <w:szCs w:val="22"/>
        </w:rPr>
      </w:pPr>
      <w:r w:rsidRPr="002C7CD3">
        <w:rPr>
          <w:rFonts w:ascii="Times New Roman" w:hAnsi="Times New Roman" w:cs="Times New Roman"/>
          <w:b/>
          <w:bCs/>
          <w:color w:val="000000" w:themeColor="text1"/>
          <w:sz w:val="22"/>
          <w:szCs w:val="22"/>
        </w:rPr>
        <w:lastRenderedPageBreak/>
        <w:t>QUESTION #7</w:t>
      </w:r>
    </w:p>
    <w:p w14:paraId="14B01AB9" w14:textId="77777777" w:rsidR="005533FC" w:rsidRPr="002C7CD3" w:rsidRDefault="005533FC" w:rsidP="00FE0E92">
      <w:pPr>
        <w:spacing w:line="240" w:lineRule="auto"/>
        <w:ind w:firstLine="0"/>
        <w:rPr>
          <w:rFonts w:eastAsia="Times New Roman"/>
          <w:b/>
          <w:bCs/>
          <w:sz w:val="22"/>
        </w:rPr>
      </w:pPr>
      <w:r w:rsidRPr="002C7CD3">
        <w:rPr>
          <w:rFonts w:eastAsia="Times New Roman"/>
          <w:b/>
          <w:bCs/>
          <w:sz w:val="22"/>
        </w:rPr>
        <w:t>What is the overall anticipated impact of electric vehicle charging in the next ten years in terms of energy and peak demand? What changes, if any, should be made to energy and peak demand forecasts to incorporate this impact?</w:t>
      </w:r>
    </w:p>
    <w:p w14:paraId="42FDFAC8" w14:textId="7EA08D07" w:rsidR="005533FC" w:rsidRPr="002C7CD3" w:rsidRDefault="005533FC" w:rsidP="002B6949">
      <w:pPr>
        <w:spacing w:before="240" w:line="360" w:lineRule="auto"/>
        <w:jc w:val="both"/>
        <w:rPr>
          <w:color w:val="000000" w:themeColor="text1"/>
          <w:sz w:val="22"/>
        </w:rPr>
      </w:pPr>
      <w:r w:rsidRPr="002C7CD3">
        <w:rPr>
          <w:sz w:val="22"/>
        </w:rPr>
        <w:t>As discussed above, a moderate incremental EV charging load is being offset to some degree by lower loads from more efficient LED lighting, home insulation, and HVAC load. </w:t>
      </w:r>
      <w:r w:rsidRPr="002C7CD3">
        <w:rPr>
          <w:color w:val="000000" w:themeColor="text1"/>
          <w:sz w:val="22"/>
        </w:rPr>
        <w:t>In the extreme of all passenger cars in Texas being electrified today, approximately 110 more terawatt-hours of electricity consumption would be added – that is a 30% increase over the current consumption in Texas.</w:t>
      </w:r>
      <w:r w:rsidRPr="002C7CD3">
        <w:rPr>
          <w:rStyle w:val="FootnoteReference"/>
          <w:rFonts w:cs="Times New Roman"/>
          <w:color w:val="000000" w:themeColor="text1"/>
          <w:sz w:val="22"/>
        </w:rPr>
        <w:footnoteReference w:id="33"/>
      </w:r>
    </w:p>
    <w:p w14:paraId="1360726D" w14:textId="77777777" w:rsidR="00013402" w:rsidRDefault="009F7A22" w:rsidP="007C5C6C">
      <w:pPr>
        <w:spacing w:line="360" w:lineRule="auto"/>
        <w:jc w:val="both"/>
        <w:rPr>
          <w:color w:val="000000" w:themeColor="text1"/>
          <w:sz w:val="22"/>
        </w:rPr>
      </w:pPr>
      <w:r w:rsidRPr="002C7CD3">
        <w:rPr>
          <w:color w:val="000000" w:themeColor="text1"/>
          <w:sz w:val="22"/>
        </w:rPr>
        <w:t xml:space="preserve">Because of the coincidence of peak demand with air conditioning load, the Texas grid has excess capacity during off-peak hours of the day. If </w:t>
      </w:r>
      <w:r w:rsidR="007C5C6C">
        <w:rPr>
          <w:color w:val="000000" w:themeColor="text1"/>
          <w:sz w:val="22"/>
        </w:rPr>
        <w:t>price signals created by the right regulatory structures cause EVs to be charged during</w:t>
      </w:r>
      <w:r w:rsidRPr="002C7CD3">
        <w:rPr>
          <w:color w:val="000000" w:themeColor="text1"/>
          <w:sz w:val="22"/>
        </w:rPr>
        <w:t xml:space="preserve"> off-peak hours, the Texas grid could be served without incremental generation capacity. As shown in the summer demand profiles below, Texas </w:t>
      </w:r>
      <w:r w:rsidRPr="002C7CD3">
        <w:rPr>
          <w:sz w:val="22"/>
        </w:rPr>
        <w:t xml:space="preserve">uses </w:t>
      </w:r>
      <w:r w:rsidRPr="002C7CD3">
        <w:rPr>
          <w:sz w:val="22"/>
          <w:u w:val="single"/>
        </w:rPr>
        <w:t xml:space="preserve">about </w:t>
      </w:r>
      <w:hyperlink r:id="rId47" w:anchor="74aeb3e51521" w:history="1">
        <w:r w:rsidRPr="002C7CD3">
          <w:rPr>
            <w:rStyle w:val="Hyperlink"/>
            <w:color w:val="auto"/>
            <w:sz w:val="22"/>
          </w:rPr>
          <w:t>half of its generation capacity of roughly 8</w:t>
        </w:r>
        <w:r w:rsidR="007C5C6C">
          <w:rPr>
            <w:rStyle w:val="Hyperlink"/>
            <w:color w:val="auto"/>
            <w:sz w:val="22"/>
          </w:rPr>
          <w:t>2.4</w:t>
        </w:r>
        <w:r w:rsidRPr="002C7CD3">
          <w:rPr>
            <w:rStyle w:val="Hyperlink"/>
            <w:color w:val="auto"/>
            <w:sz w:val="22"/>
          </w:rPr>
          <w:t xml:space="preserve"> GW to serve demand in early morning hours while it uses most of that capacity to serve demand between 3 and 7 pm</w:t>
        </w:r>
      </w:hyperlink>
      <w:r w:rsidRPr="002C7CD3">
        <w:rPr>
          <w:color w:val="000000" w:themeColor="text1"/>
          <w:sz w:val="22"/>
        </w:rPr>
        <w:t xml:space="preserve">. The large daily and seasonal variations in electricity demand means the state has power plants that sit idle throughout many hours of the year. </w:t>
      </w:r>
    </w:p>
    <w:p w14:paraId="3EA15CE2" w14:textId="77777777" w:rsidR="00013402" w:rsidRDefault="00013402">
      <w:pPr>
        <w:spacing w:after="160" w:line="259" w:lineRule="auto"/>
        <w:ind w:firstLine="0"/>
        <w:rPr>
          <w:color w:val="000000" w:themeColor="text1"/>
          <w:sz w:val="22"/>
        </w:rPr>
      </w:pPr>
      <w:r>
        <w:rPr>
          <w:color w:val="000000" w:themeColor="text1"/>
          <w:sz w:val="22"/>
        </w:rPr>
        <w:br w:type="page"/>
      </w:r>
    </w:p>
    <w:p w14:paraId="084A0E7C" w14:textId="4F751C72" w:rsidR="005533FC" w:rsidRPr="00013402" w:rsidRDefault="009F7A22" w:rsidP="00013402">
      <w:pPr>
        <w:spacing w:line="360" w:lineRule="auto"/>
        <w:jc w:val="both"/>
        <w:rPr>
          <w:sz w:val="22"/>
        </w:rPr>
      </w:pPr>
      <w:r w:rsidRPr="002C7CD3">
        <w:rPr>
          <w:color w:val="000000" w:themeColor="text1"/>
          <w:sz w:val="22"/>
        </w:rPr>
        <w:lastRenderedPageBreak/>
        <w:t>The charts show how large percentages of EVs (from 25% to 100%) could be charged during off-peak hours provided the charging times are not coincident with peak demand hours.</w:t>
      </w:r>
      <w:r w:rsidRPr="002C7CD3">
        <w:rPr>
          <w:rStyle w:val="FootnoteReference"/>
          <w:sz w:val="22"/>
        </w:rPr>
        <w:t xml:space="preserve"> </w:t>
      </w:r>
      <w:r w:rsidRPr="002C7CD3">
        <w:rPr>
          <w:rStyle w:val="FootnoteReference"/>
          <w:sz w:val="22"/>
        </w:rPr>
        <w:footnoteReference w:id="34"/>
      </w:r>
    </w:p>
    <w:tbl>
      <w:tblPr>
        <w:tblStyle w:val="TableGrid"/>
        <w:tblpPr w:leftFromText="180" w:rightFromText="180" w:vertAnchor="text" w:horzAnchor="margin" w:tblpY="3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707"/>
      </w:tblGrid>
      <w:tr w:rsidR="005533FC" w14:paraId="09DBB1DB" w14:textId="77777777" w:rsidTr="005533FC">
        <w:trPr>
          <w:cantSplit/>
        </w:trPr>
        <w:tc>
          <w:tcPr>
            <w:tcW w:w="9360" w:type="dxa"/>
            <w:gridSpan w:val="2"/>
          </w:tcPr>
          <w:p w14:paraId="72C85116" w14:textId="77777777" w:rsidR="005533FC" w:rsidRPr="00484FD7" w:rsidRDefault="005533FC" w:rsidP="000B5BFC">
            <w:pPr>
              <w:spacing w:line="360" w:lineRule="auto"/>
              <w:rPr>
                <w:rFonts w:ascii="Calibri" w:hAnsi="Calibri" w:cs="Calibri"/>
                <w:sz w:val="28"/>
                <w:szCs w:val="28"/>
              </w:rPr>
            </w:pPr>
          </w:p>
        </w:tc>
      </w:tr>
      <w:tr w:rsidR="005533FC" w14:paraId="576C9F98" w14:textId="77777777" w:rsidTr="005533FC">
        <w:trPr>
          <w:cantSplit/>
        </w:trPr>
        <w:tc>
          <w:tcPr>
            <w:tcW w:w="4653" w:type="dxa"/>
          </w:tcPr>
          <w:p w14:paraId="4C42D196" w14:textId="4E108ECD" w:rsidR="005533FC" w:rsidRPr="005533FC" w:rsidRDefault="005533FC" w:rsidP="000B5BFC">
            <w:pPr>
              <w:spacing w:line="360" w:lineRule="auto"/>
              <w:jc w:val="center"/>
              <w:rPr>
                <w:rFonts w:ascii="Arial" w:hAnsi="Arial" w:cs="Arial"/>
                <w:szCs w:val="24"/>
              </w:rPr>
            </w:pPr>
            <w:r w:rsidRPr="005533FC">
              <w:rPr>
                <w:rFonts w:ascii="Arial" w:hAnsi="Arial" w:cs="Arial"/>
                <w:szCs w:val="24"/>
              </w:rPr>
              <w:t>25% electric vehicles</w:t>
            </w:r>
          </w:p>
        </w:tc>
        <w:tc>
          <w:tcPr>
            <w:tcW w:w="4707" w:type="dxa"/>
          </w:tcPr>
          <w:p w14:paraId="3A6F35B8" w14:textId="77777777" w:rsidR="005533FC" w:rsidRPr="005533FC" w:rsidRDefault="005533FC" w:rsidP="000B5BFC">
            <w:pPr>
              <w:spacing w:line="360" w:lineRule="auto"/>
              <w:jc w:val="center"/>
              <w:rPr>
                <w:rFonts w:ascii="Arial" w:hAnsi="Arial" w:cs="Arial"/>
                <w:color w:val="4472C4" w:themeColor="accent1"/>
                <w:szCs w:val="24"/>
              </w:rPr>
            </w:pPr>
            <w:r w:rsidRPr="005533FC">
              <w:rPr>
                <w:rFonts w:ascii="Arial" w:hAnsi="Arial" w:cs="Arial"/>
                <w:szCs w:val="24"/>
              </w:rPr>
              <w:t>75% electric vehicle</w:t>
            </w:r>
          </w:p>
        </w:tc>
      </w:tr>
      <w:tr w:rsidR="005533FC" w14:paraId="622F71F9" w14:textId="77777777" w:rsidTr="005533FC">
        <w:trPr>
          <w:cantSplit/>
        </w:trPr>
        <w:tc>
          <w:tcPr>
            <w:tcW w:w="4653" w:type="dxa"/>
          </w:tcPr>
          <w:p w14:paraId="7D337C8E" w14:textId="77777777" w:rsidR="005533FC" w:rsidRDefault="005533FC" w:rsidP="000B5BFC">
            <w:pPr>
              <w:spacing w:line="360" w:lineRule="auto"/>
              <w:jc w:val="center"/>
            </w:pPr>
            <w:r>
              <w:rPr>
                <w:noProof/>
              </w:rPr>
              <w:drawing>
                <wp:inline distT="0" distB="0" distL="0" distR="0" wp14:anchorId="1B55F463" wp14:editId="55FEEC6C">
                  <wp:extent cx="2750820" cy="2320807"/>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6219" t="38632" r="55897" b="19544"/>
                          <a:stretch/>
                        </pic:blipFill>
                        <pic:spPr bwMode="auto">
                          <a:xfrm>
                            <a:off x="0" y="0"/>
                            <a:ext cx="2750820" cy="2320807"/>
                          </a:xfrm>
                          <a:prstGeom prst="rect">
                            <a:avLst/>
                          </a:prstGeom>
                          <a:ln>
                            <a:noFill/>
                          </a:ln>
                          <a:extLst>
                            <a:ext uri="{53640926-AAD7-44D8-BBD7-CCE9431645EC}">
                              <a14:shadowObscured xmlns:a14="http://schemas.microsoft.com/office/drawing/2010/main"/>
                            </a:ext>
                          </a:extLst>
                        </pic:spPr>
                      </pic:pic>
                    </a:graphicData>
                  </a:graphic>
                </wp:inline>
              </w:drawing>
            </w:r>
          </w:p>
        </w:tc>
        <w:tc>
          <w:tcPr>
            <w:tcW w:w="4707" w:type="dxa"/>
          </w:tcPr>
          <w:p w14:paraId="3B3E5AD5" w14:textId="77777777" w:rsidR="005533FC" w:rsidRDefault="005533FC" w:rsidP="000B5BFC">
            <w:pPr>
              <w:spacing w:line="360" w:lineRule="auto"/>
              <w:jc w:val="center"/>
            </w:pPr>
            <w:r>
              <w:rPr>
                <w:noProof/>
              </w:rPr>
              <w:drawing>
                <wp:inline distT="0" distB="0" distL="0" distR="0" wp14:anchorId="0162E1BF" wp14:editId="497B0260">
                  <wp:extent cx="2755346" cy="2106930"/>
                  <wp:effectExtent l="0" t="0" r="6985"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6678" t="38693" r="55449" b="23418"/>
                          <a:stretch/>
                        </pic:blipFill>
                        <pic:spPr bwMode="auto">
                          <a:xfrm>
                            <a:off x="0" y="0"/>
                            <a:ext cx="2771936" cy="2119616"/>
                          </a:xfrm>
                          <a:prstGeom prst="rect">
                            <a:avLst/>
                          </a:prstGeom>
                          <a:ln>
                            <a:noFill/>
                          </a:ln>
                          <a:extLst>
                            <a:ext uri="{53640926-AAD7-44D8-BBD7-CCE9431645EC}">
                              <a14:shadowObscured xmlns:a14="http://schemas.microsoft.com/office/drawing/2010/main"/>
                            </a:ext>
                          </a:extLst>
                        </pic:spPr>
                      </pic:pic>
                    </a:graphicData>
                  </a:graphic>
                </wp:inline>
              </w:drawing>
            </w:r>
          </w:p>
        </w:tc>
      </w:tr>
      <w:tr w:rsidR="005533FC" w14:paraId="52886180" w14:textId="77777777" w:rsidTr="005533FC">
        <w:trPr>
          <w:cantSplit/>
        </w:trPr>
        <w:tc>
          <w:tcPr>
            <w:tcW w:w="4653" w:type="dxa"/>
          </w:tcPr>
          <w:p w14:paraId="51343A11" w14:textId="77777777" w:rsidR="005533FC" w:rsidRPr="005533FC" w:rsidRDefault="005533FC" w:rsidP="000B5BFC">
            <w:pPr>
              <w:spacing w:line="360" w:lineRule="auto"/>
              <w:jc w:val="center"/>
              <w:rPr>
                <w:rFonts w:ascii="Arial" w:hAnsi="Arial" w:cs="Arial"/>
                <w:noProof/>
                <w:color w:val="4472C4" w:themeColor="accent1"/>
                <w:szCs w:val="24"/>
              </w:rPr>
            </w:pPr>
            <w:r w:rsidRPr="005533FC">
              <w:rPr>
                <w:rFonts w:ascii="Arial" w:hAnsi="Arial" w:cs="Arial"/>
                <w:noProof/>
                <w:szCs w:val="24"/>
              </w:rPr>
              <w:t>50% electric vehicles</w:t>
            </w:r>
          </w:p>
        </w:tc>
        <w:tc>
          <w:tcPr>
            <w:tcW w:w="4707" w:type="dxa"/>
          </w:tcPr>
          <w:p w14:paraId="5BA48B7F" w14:textId="77777777" w:rsidR="005533FC" w:rsidRPr="005533FC" w:rsidRDefault="005533FC" w:rsidP="000B5BFC">
            <w:pPr>
              <w:spacing w:line="360" w:lineRule="auto"/>
              <w:jc w:val="center"/>
              <w:rPr>
                <w:rFonts w:ascii="Arial" w:hAnsi="Arial" w:cs="Arial"/>
                <w:noProof/>
                <w:color w:val="4472C4" w:themeColor="accent1"/>
                <w:szCs w:val="24"/>
              </w:rPr>
            </w:pPr>
            <w:r w:rsidRPr="005533FC">
              <w:rPr>
                <w:rFonts w:ascii="Arial" w:hAnsi="Arial" w:cs="Arial"/>
                <w:noProof/>
                <w:szCs w:val="24"/>
              </w:rPr>
              <w:t>100% electric vehicle</w:t>
            </w:r>
          </w:p>
        </w:tc>
      </w:tr>
      <w:tr w:rsidR="005533FC" w14:paraId="3BBEA1E7" w14:textId="77777777" w:rsidTr="005533FC">
        <w:trPr>
          <w:cantSplit/>
        </w:trPr>
        <w:tc>
          <w:tcPr>
            <w:tcW w:w="4653" w:type="dxa"/>
          </w:tcPr>
          <w:p w14:paraId="55114796" w14:textId="77777777" w:rsidR="005533FC" w:rsidRDefault="005533FC" w:rsidP="000B5BFC">
            <w:pPr>
              <w:spacing w:line="360" w:lineRule="auto"/>
              <w:jc w:val="center"/>
              <w:rPr>
                <w:noProof/>
              </w:rPr>
            </w:pPr>
            <w:r>
              <w:rPr>
                <w:noProof/>
              </w:rPr>
              <w:drawing>
                <wp:inline distT="0" distB="0" distL="0" distR="0" wp14:anchorId="0F16FA3D" wp14:editId="7F8AC189">
                  <wp:extent cx="2773680" cy="2317732"/>
                  <wp:effectExtent l="0" t="0" r="7620"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16475" t="38405" r="55449" b="19886"/>
                          <a:stretch/>
                        </pic:blipFill>
                        <pic:spPr bwMode="auto">
                          <a:xfrm>
                            <a:off x="0" y="0"/>
                            <a:ext cx="2785482" cy="2327594"/>
                          </a:xfrm>
                          <a:prstGeom prst="rect">
                            <a:avLst/>
                          </a:prstGeom>
                          <a:ln>
                            <a:noFill/>
                          </a:ln>
                          <a:extLst>
                            <a:ext uri="{53640926-AAD7-44D8-BBD7-CCE9431645EC}">
                              <a14:shadowObscured xmlns:a14="http://schemas.microsoft.com/office/drawing/2010/main"/>
                            </a:ext>
                          </a:extLst>
                        </pic:spPr>
                      </pic:pic>
                    </a:graphicData>
                  </a:graphic>
                </wp:inline>
              </w:drawing>
            </w:r>
          </w:p>
        </w:tc>
        <w:tc>
          <w:tcPr>
            <w:tcW w:w="4707" w:type="dxa"/>
          </w:tcPr>
          <w:p w14:paraId="12F42867" w14:textId="77777777" w:rsidR="005533FC" w:rsidRDefault="005533FC" w:rsidP="000B5BFC">
            <w:pPr>
              <w:spacing w:line="360" w:lineRule="auto"/>
            </w:pPr>
            <w:r>
              <w:rPr>
                <w:noProof/>
              </w:rPr>
              <w:drawing>
                <wp:inline distT="0" distB="0" distL="0" distR="0" wp14:anchorId="092F9AA3" wp14:editId="024C080E">
                  <wp:extent cx="2821305" cy="2339904"/>
                  <wp:effectExtent l="0" t="0" r="0" b="38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6282" t="38566" r="55385" b="19658"/>
                          <a:stretch/>
                        </pic:blipFill>
                        <pic:spPr bwMode="auto">
                          <a:xfrm>
                            <a:off x="0" y="0"/>
                            <a:ext cx="2841095" cy="2356317"/>
                          </a:xfrm>
                          <a:prstGeom prst="rect">
                            <a:avLst/>
                          </a:prstGeom>
                          <a:ln>
                            <a:noFill/>
                          </a:ln>
                          <a:extLst>
                            <a:ext uri="{53640926-AAD7-44D8-BBD7-CCE9431645EC}">
                              <a14:shadowObscured xmlns:a14="http://schemas.microsoft.com/office/drawing/2010/main"/>
                            </a:ext>
                          </a:extLst>
                        </pic:spPr>
                      </pic:pic>
                    </a:graphicData>
                  </a:graphic>
                </wp:inline>
              </w:drawing>
            </w:r>
          </w:p>
        </w:tc>
      </w:tr>
    </w:tbl>
    <w:p w14:paraId="5B16A941" w14:textId="44B127CA" w:rsidR="005533FC" w:rsidRPr="002C7CD3" w:rsidRDefault="005533FC" w:rsidP="00013402">
      <w:pPr>
        <w:shd w:val="clear" w:color="auto" w:fill="FFFFFF"/>
        <w:spacing w:line="360" w:lineRule="auto"/>
        <w:ind w:firstLine="0"/>
        <w:jc w:val="both"/>
        <w:rPr>
          <w:sz w:val="22"/>
        </w:rPr>
      </w:pPr>
      <w:r w:rsidRPr="002C7CD3">
        <w:rPr>
          <w:sz w:val="22"/>
        </w:rPr>
        <w:t>Electrification of transportation offers load growth to utilities. This is typically good for utilities and their customers as it increases revenues</w:t>
      </w:r>
      <w:r w:rsidR="007C5C6C">
        <w:rPr>
          <w:sz w:val="22"/>
        </w:rPr>
        <w:t xml:space="preserve"> </w:t>
      </w:r>
      <w:r w:rsidR="007C5C6C" w:rsidRPr="007C5C6C">
        <w:rPr>
          <w:sz w:val="22"/>
        </w:rPr>
        <w:t>and allows the cost of fixed assets to be recovered over a larger base of consumption</w:t>
      </w:r>
      <w:r w:rsidR="007C5C6C">
        <w:rPr>
          <w:sz w:val="22"/>
        </w:rPr>
        <w:t>.</w:t>
      </w:r>
      <w:r w:rsidR="003B75B0">
        <w:rPr>
          <w:sz w:val="22"/>
        </w:rPr>
        <w:t xml:space="preserve"> </w:t>
      </w:r>
      <w:r w:rsidRPr="002C7CD3">
        <w:rPr>
          <w:sz w:val="22"/>
        </w:rPr>
        <w:t xml:space="preserve">What makes the most sense financially is load growth without increasing capital equipment expenditures (CAPEX) or additional fixed costs. This can be done when load growth occurs when there is excess supply of inexpensive generation and spare T&amp;D capacity. Electrification of transportation offers </w:t>
      </w:r>
      <w:r w:rsidRPr="002C7CD3">
        <w:rPr>
          <w:sz w:val="22"/>
        </w:rPr>
        <w:lastRenderedPageBreak/>
        <w:t>this possibility. Typically, peak demand determines the equipment that must be installed. However, T&amp;D and generation assets are then underutilized during off-peak hours.  This leads to underutilization of the existing capital assets and hence increases the cost per unit of electricity. The portion of a customer’s bill that is related to fixed costs could decrease if electric vehicles are charged off-peak and do not require incremental CAPEX. The fixed costs would then be spread over greater kWh sale</w:t>
      </w:r>
      <w:r w:rsidR="003B75B0">
        <w:rPr>
          <w:sz w:val="22"/>
        </w:rPr>
        <w:t>, potentially lowering consumer costs. In this scenario,</w:t>
      </w:r>
      <w:r w:rsidRPr="002C7CD3">
        <w:rPr>
          <w:sz w:val="22"/>
        </w:rPr>
        <w:t xml:space="preserve"> the fixed assets are better utilized</w:t>
      </w:r>
      <w:r w:rsidR="003B75B0">
        <w:rPr>
          <w:sz w:val="22"/>
        </w:rPr>
        <w:t xml:space="preserve"> and thus more cost effective</w:t>
      </w:r>
      <w:r w:rsidRPr="002C7CD3">
        <w:rPr>
          <w:sz w:val="22"/>
        </w:rPr>
        <w:t xml:space="preserve">. </w:t>
      </w:r>
    </w:p>
    <w:p w14:paraId="4C73366D" w14:textId="37F4FED0" w:rsidR="008F2E45" w:rsidRDefault="005533FC" w:rsidP="008F2E45">
      <w:pPr>
        <w:spacing w:line="360" w:lineRule="auto"/>
        <w:jc w:val="both"/>
        <w:rPr>
          <w:color w:val="000000" w:themeColor="text1"/>
          <w:sz w:val="22"/>
        </w:rPr>
      </w:pPr>
      <w:r w:rsidRPr="002C7CD3">
        <w:rPr>
          <w:color w:val="000000" w:themeColor="text1"/>
          <w:sz w:val="22"/>
        </w:rPr>
        <w:t xml:space="preserve">The portion of the customer’s bill that is related to (variable) fuel costs might not increase meaningfully if charging can be aligned with low wholesale prices. Those lower wholesale cost savings are passed on to customers in </w:t>
      </w:r>
      <w:r w:rsidRPr="00566785">
        <w:rPr>
          <w:color w:val="000000" w:themeColor="text1"/>
          <w:sz w:val="22"/>
        </w:rPr>
        <w:t>retail rates. ERCOT</w:t>
      </w:r>
      <w:r w:rsidRPr="002C7CD3">
        <w:rPr>
          <w:color w:val="000000" w:themeColor="text1"/>
          <w:sz w:val="22"/>
        </w:rPr>
        <w:t xml:space="preserve"> is experiencing increasing amounts of variable renewable generation that can </w:t>
      </w:r>
      <w:r w:rsidR="00566785">
        <w:rPr>
          <w:color w:val="000000" w:themeColor="text1"/>
          <w:sz w:val="22"/>
        </w:rPr>
        <w:t>serve</w:t>
      </w:r>
      <w:r w:rsidRPr="002C7CD3">
        <w:rPr>
          <w:color w:val="000000" w:themeColor="text1"/>
          <w:sz w:val="22"/>
        </w:rPr>
        <w:t xml:space="preserve"> more flexible loads such as electric vehicles. Electric vehicles offer the possibility of a new and unique large, flexible, and intelligent load. </w:t>
      </w:r>
      <w:r w:rsidR="003B75B0">
        <w:rPr>
          <w:color w:val="000000" w:themeColor="text1"/>
          <w:sz w:val="22"/>
        </w:rPr>
        <w:t>M</w:t>
      </w:r>
      <w:r w:rsidRPr="002C7CD3">
        <w:rPr>
          <w:color w:val="000000" w:themeColor="text1"/>
          <w:sz w:val="22"/>
        </w:rPr>
        <w:t xml:space="preserve">anaged charging does not require a technological breakthrough. </w:t>
      </w:r>
      <w:r w:rsidR="003B75B0">
        <w:rPr>
          <w:color w:val="000000" w:themeColor="text1"/>
          <w:sz w:val="22"/>
        </w:rPr>
        <w:t xml:space="preserve">Because charging load is flexible, </w:t>
      </w:r>
      <w:r w:rsidR="003C4B04">
        <w:rPr>
          <w:color w:val="000000" w:themeColor="text1"/>
          <w:sz w:val="22"/>
        </w:rPr>
        <w:t xml:space="preserve">it can be optimally deployed by AI equipped chargers programmed to optimize based </w:t>
      </w:r>
      <w:r w:rsidRPr="002C7CD3">
        <w:rPr>
          <w:color w:val="000000" w:themeColor="text1"/>
          <w:sz w:val="22"/>
        </w:rPr>
        <w:t>time of use (TOU) rates</w:t>
      </w:r>
      <w:r w:rsidR="003C4B04">
        <w:rPr>
          <w:color w:val="000000" w:themeColor="text1"/>
          <w:sz w:val="22"/>
        </w:rPr>
        <w:t xml:space="preserve"> and </w:t>
      </w:r>
      <w:r w:rsidRPr="002C7CD3">
        <w:rPr>
          <w:color w:val="000000" w:themeColor="text1"/>
          <w:sz w:val="22"/>
        </w:rPr>
        <w:t>demand response (DR)</w:t>
      </w:r>
      <w:r w:rsidR="003C4B04">
        <w:rPr>
          <w:color w:val="000000" w:themeColor="text1"/>
          <w:sz w:val="22"/>
        </w:rPr>
        <w:t>. The same equipment could discharge batteries to the grid.</w:t>
      </w:r>
      <w:r w:rsidRPr="002C7CD3">
        <w:rPr>
          <w:color w:val="000000" w:themeColor="text1"/>
          <w:sz w:val="22"/>
        </w:rPr>
        <w:t xml:space="preserve"> </w:t>
      </w:r>
      <w:r w:rsidR="003C4B04">
        <w:rPr>
          <w:color w:val="000000" w:themeColor="text1"/>
          <w:sz w:val="22"/>
        </w:rPr>
        <w:t xml:space="preserve">TxETRA </w:t>
      </w:r>
      <w:r w:rsidRPr="002C7CD3">
        <w:rPr>
          <w:color w:val="000000" w:themeColor="text1"/>
          <w:sz w:val="22"/>
        </w:rPr>
        <w:t>recommend</w:t>
      </w:r>
      <w:r w:rsidR="003C4B04">
        <w:rPr>
          <w:color w:val="000000" w:themeColor="text1"/>
          <w:sz w:val="22"/>
        </w:rPr>
        <w:t>s</w:t>
      </w:r>
      <w:r w:rsidRPr="002C7CD3">
        <w:rPr>
          <w:color w:val="000000" w:themeColor="text1"/>
          <w:sz w:val="22"/>
        </w:rPr>
        <w:t xml:space="preserve"> that utilities experiment with intelligent charging to </w:t>
      </w:r>
      <w:r w:rsidR="00566785">
        <w:rPr>
          <w:color w:val="000000" w:themeColor="text1"/>
          <w:sz w:val="22"/>
        </w:rPr>
        <w:t>better understand</w:t>
      </w:r>
      <w:r w:rsidRPr="002C7CD3">
        <w:rPr>
          <w:color w:val="000000" w:themeColor="text1"/>
          <w:sz w:val="22"/>
        </w:rPr>
        <w:t xml:space="preserve"> the charging patterns and customer response. </w:t>
      </w:r>
    </w:p>
    <w:p w14:paraId="27D8EB70" w14:textId="77777777" w:rsidR="005533FC" w:rsidRPr="002C7CD3" w:rsidRDefault="005533FC" w:rsidP="000B5BFC">
      <w:pPr>
        <w:spacing w:line="360" w:lineRule="auto"/>
        <w:jc w:val="both"/>
        <w:rPr>
          <w:color w:val="000000"/>
          <w:sz w:val="22"/>
        </w:rPr>
      </w:pPr>
      <w:bookmarkStart w:id="2" w:name="_GoBack"/>
      <w:bookmarkEnd w:id="2"/>
      <w:r w:rsidRPr="002C7CD3">
        <w:rPr>
          <w:color w:val="000000"/>
          <w:sz w:val="22"/>
        </w:rPr>
        <w:t>To summarize, intelligent charging can:</w:t>
      </w:r>
    </w:p>
    <w:p w14:paraId="47CCEDAC" w14:textId="5230EDAF" w:rsidR="005533FC" w:rsidRPr="002C7CD3" w:rsidRDefault="005533FC" w:rsidP="000B5BFC">
      <w:pPr>
        <w:pStyle w:val="ListParagraph"/>
        <w:numPr>
          <w:ilvl w:val="0"/>
          <w:numId w:val="13"/>
        </w:numPr>
        <w:spacing w:line="360" w:lineRule="auto"/>
        <w:contextualSpacing w:val="0"/>
        <w:jc w:val="both"/>
        <w:rPr>
          <w:rFonts w:eastAsia="Times New Roman"/>
          <w:color w:val="000000"/>
          <w:sz w:val="22"/>
        </w:rPr>
      </w:pPr>
      <w:r w:rsidRPr="002C7CD3">
        <w:rPr>
          <w:rFonts w:eastAsia="Times New Roman"/>
          <w:color w:val="000000"/>
          <w:sz w:val="22"/>
        </w:rPr>
        <w:t>improve grid economics by achieving higher utilization rates, and therefore capacity factor, of transmission, distribution and generation assets</w:t>
      </w:r>
      <w:r w:rsidR="00566785">
        <w:rPr>
          <w:rFonts w:eastAsia="Times New Roman"/>
          <w:color w:val="000000"/>
          <w:sz w:val="22"/>
        </w:rPr>
        <w:t>;</w:t>
      </w:r>
    </w:p>
    <w:p w14:paraId="1BC6ABFD" w14:textId="3A1B38B4" w:rsidR="005533FC" w:rsidRPr="002C7CD3" w:rsidRDefault="005533FC" w:rsidP="000B5BFC">
      <w:pPr>
        <w:pStyle w:val="ListParagraph"/>
        <w:numPr>
          <w:ilvl w:val="0"/>
          <w:numId w:val="13"/>
        </w:numPr>
        <w:spacing w:line="360" w:lineRule="auto"/>
        <w:contextualSpacing w:val="0"/>
        <w:jc w:val="both"/>
        <w:rPr>
          <w:rFonts w:eastAsia="Times New Roman"/>
          <w:color w:val="000000"/>
          <w:sz w:val="22"/>
        </w:rPr>
      </w:pPr>
      <w:r w:rsidRPr="002C7CD3">
        <w:rPr>
          <w:rFonts w:eastAsia="Times New Roman"/>
          <w:color w:val="000000"/>
          <w:sz w:val="22"/>
        </w:rPr>
        <w:t>reduce emissions by aligning charging with surplus renewable generation</w:t>
      </w:r>
      <w:r w:rsidR="00566785">
        <w:rPr>
          <w:rFonts w:eastAsia="Times New Roman"/>
          <w:color w:val="000000"/>
          <w:sz w:val="22"/>
        </w:rPr>
        <w:t>;</w:t>
      </w:r>
    </w:p>
    <w:p w14:paraId="2FC0CDD8" w14:textId="50ED9814" w:rsidR="005533FC" w:rsidRPr="002C7CD3" w:rsidRDefault="005533FC" w:rsidP="000B5BFC">
      <w:pPr>
        <w:pStyle w:val="ListParagraph"/>
        <w:numPr>
          <w:ilvl w:val="0"/>
          <w:numId w:val="13"/>
        </w:numPr>
        <w:spacing w:line="360" w:lineRule="auto"/>
        <w:contextualSpacing w:val="0"/>
        <w:jc w:val="both"/>
        <w:rPr>
          <w:rFonts w:eastAsia="Times New Roman"/>
          <w:color w:val="000000"/>
          <w:sz w:val="22"/>
        </w:rPr>
      </w:pPr>
      <w:r w:rsidRPr="002C7CD3">
        <w:rPr>
          <w:rFonts w:eastAsia="Times New Roman"/>
          <w:color w:val="000000"/>
          <w:sz w:val="22"/>
        </w:rPr>
        <w:t>reduce grid stress and maintain grid stability by incorporating a new type of large, flexible and intelligent load reducing the strain on distribution transformers</w:t>
      </w:r>
      <w:r w:rsidR="00566785">
        <w:rPr>
          <w:rFonts w:eastAsia="Times New Roman"/>
          <w:color w:val="000000"/>
          <w:sz w:val="22"/>
        </w:rPr>
        <w:t>; and</w:t>
      </w:r>
    </w:p>
    <w:p w14:paraId="12A5B582" w14:textId="5F26842B" w:rsidR="005533FC" w:rsidRPr="002C7CD3" w:rsidRDefault="005533FC" w:rsidP="000B5BFC">
      <w:pPr>
        <w:pStyle w:val="ListParagraph"/>
        <w:numPr>
          <w:ilvl w:val="0"/>
          <w:numId w:val="13"/>
        </w:numPr>
        <w:spacing w:line="360" w:lineRule="auto"/>
        <w:contextualSpacing w:val="0"/>
        <w:jc w:val="both"/>
        <w:rPr>
          <w:rFonts w:eastAsia="Times New Roman"/>
          <w:color w:val="000000"/>
          <w:sz w:val="22"/>
        </w:rPr>
      </w:pPr>
      <w:r w:rsidRPr="002C7CD3">
        <w:rPr>
          <w:rFonts w:eastAsia="Times New Roman"/>
          <w:color w:val="000000"/>
          <w:sz w:val="22"/>
        </w:rPr>
        <w:t>reduce the need for new peak generation and distribution capacity resulting from EVs charging during peak hours and taking advantage of vehicle-to-grid capabilities in the coming years</w:t>
      </w:r>
      <w:r w:rsidR="00566785">
        <w:rPr>
          <w:rFonts w:eastAsia="Times New Roman"/>
          <w:color w:val="000000"/>
          <w:sz w:val="22"/>
        </w:rPr>
        <w:t>.</w:t>
      </w:r>
    </w:p>
    <w:p w14:paraId="7A30EE20" w14:textId="791FC53C" w:rsidR="005533FC" w:rsidRPr="002C7CD3" w:rsidRDefault="005533FC" w:rsidP="000B5BFC">
      <w:pPr>
        <w:spacing w:line="360" w:lineRule="auto"/>
        <w:jc w:val="both"/>
        <w:rPr>
          <w:color w:val="000000"/>
          <w:sz w:val="22"/>
        </w:rPr>
      </w:pPr>
      <w:r w:rsidRPr="002C7CD3">
        <w:rPr>
          <w:color w:val="000000"/>
          <w:sz w:val="22"/>
        </w:rPr>
        <w:t xml:space="preserve">An example of these benefits is shown </w:t>
      </w:r>
      <w:r w:rsidR="002F141A" w:rsidRPr="002C7CD3">
        <w:rPr>
          <w:color w:val="000000"/>
          <w:sz w:val="22"/>
        </w:rPr>
        <w:t xml:space="preserve">below </w:t>
      </w:r>
      <w:r w:rsidRPr="002C7CD3">
        <w:rPr>
          <w:color w:val="000000"/>
          <w:sz w:val="22"/>
        </w:rPr>
        <w:t xml:space="preserve">in </w:t>
      </w:r>
      <w:r w:rsidR="008E01EC" w:rsidRPr="002C7CD3">
        <w:rPr>
          <w:color w:val="000000"/>
          <w:sz w:val="22"/>
        </w:rPr>
        <w:t>F</w:t>
      </w:r>
      <w:r w:rsidRPr="002C7CD3">
        <w:rPr>
          <w:color w:val="000000"/>
          <w:sz w:val="22"/>
        </w:rPr>
        <w:t xml:space="preserve">igure 1. </w:t>
      </w:r>
    </w:p>
    <w:p w14:paraId="11607D6D" w14:textId="77777777" w:rsidR="002F141A" w:rsidRPr="00610C40" w:rsidRDefault="002F141A" w:rsidP="000B5BFC">
      <w:pPr>
        <w:spacing w:line="360" w:lineRule="auto"/>
        <w:jc w:val="both"/>
        <w:rPr>
          <w:color w:val="000000"/>
        </w:rPr>
      </w:pPr>
    </w:p>
    <w:p w14:paraId="3DB885DB" w14:textId="77777777" w:rsidR="002F141A" w:rsidRPr="00610C40" w:rsidRDefault="002F141A" w:rsidP="000B5BFC">
      <w:pPr>
        <w:spacing w:line="360" w:lineRule="auto"/>
        <w:jc w:val="both"/>
        <w:rPr>
          <w:color w:val="000000"/>
        </w:rPr>
      </w:pPr>
    </w:p>
    <w:p w14:paraId="27A53FDC" w14:textId="695197D2" w:rsidR="008F2E45" w:rsidRPr="00013402" w:rsidRDefault="002F141A" w:rsidP="00013402">
      <w:pPr>
        <w:spacing w:line="360" w:lineRule="auto"/>
        <w:jc w:val="center"/>
        <w:rPr>
          <w:color w:val="000000"/>
        </w:rPr>
      </w:pPr>
      <w:r w:rsidRPr="00610C40">
        <w:rPr>
          <w:noProof/>
        </w:rPr>
        <w:lastRenderedPageBreak/>
        <w:drawing>
          <wp:inline distT="0" distB="0" distL="0" distR="0" wp14:anchorId="2BA857EE" wp14:editId="32515740">
            <wp:extent cx="5438775" cy="2115185"/>
            <wp:effectExtent l="0" t="0" r="9525" b="0"/>
            <wp:docPr id="50" name="Picture 50" descr="cid:image006.jpg@01D5CDEB.C69638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6.jpg@01D5CDEB.C69638C0"/>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bwMode="auto">
                    <a:xfrm>
                      <a:off x="0" y="0"/>
                      <a:ext cx="5438775" cy="2115185"/>
                    </a:xfrm>
                    <a:prstGeom prst="rect">
                      <a:avLst/>
                    </a:prstGeom>
                    <a:noFill/>
                    <a:ln>
                      <a:noFill/>
                    </a:ln>
                  </pic:spPr>
                </pic:pic>
              </a:graphicData>
            </a:graphic>
          </wp:inline>
        </w:drawing>
      </w:r>
    </w:p>
    <w:p w14:paraId="451B6055" w14:textId="24CE8B9B" w:rsidR="008F2E45" w:rsidRDefault="008F2E45" w:rsidP="00013402">
      <w:pPr>
        <w:spacing w:line="240" w:lineRule="auto"/>
        <w:jc w:val="center"/>
        <w:rPr>
          <w:color w:val="000000"/>
          <w:sz w:val="22"/>
        </w:rPr>
      </w:pPr>
      <w:r w:rsidRPr="00013402">
        <w:rPr>
          <w:color w:val="000000"/>
          <w:sz w:val="22"/>
        </w:rPr>
        <w:t>Hour Charging</w:t>
      </w:r>
    </w:p>
    <w:p w14:paraId="39E3FC52" w14:textId="791C133F" w:rsidR="002F141A" w:rsidRPr="002C7CD3" w:rsidRDefault="002F141A" w:rsidP="00013402">
      <w:pPr>
        <w:spacing w:line="360" w:lineRule="auto"/>
        <w:jc w:val="center"/>
        <w:rPr>
          <w:color w:val="000000"/>
          <w:sz w:val="22"/>
        </w:rPr>
      </w:pPr>
      <w:r w:rsidRPr="002C7CD3">
        <w:rPr>
          <w:color w:val="000000"/>
          <w:sz w:val="22"/>
        </w:rPr>
        <w:t>Figure 1. Opportunities for managed charging to meet grid needs (illustrative)</w:t>
      </w:r>
      <w:r w:rsidRPr="002C7CD3">
        <w:rPr>
          <w:rStyle w:val="FootnoteReference"/>
          <w:color w:val="000000"/>
          <w:sz w:val="22"/>
        </w:rPr>
        <w:footnoteReference w:id="35"/>
      </w:r>
    </w:p>
    <w:p w14:paraId="7A53A6B5" w14:textId="77777777" w:rsidR="002F141A" w:rsidRPr="002C7CD3" w:rsidRDefault="002F141A" w:rsidP="00013402">
      <w:pPr>
        <w:spacing w:before="240" w:line="360" w:lineRule="auto"/>
        <w:jc w:val="both"/>
        <w:rPr>
          <w:color w:val="000000"/>
          <w:sz w:val="22"/>
        </w:rPr>
      </w:pPr>
      <w:r w:rsidRPr="002C7CD3">
        <w:rPr>
          <w:color w:val="000000"/>
          <w:sz w:val="22"/>
        </w:rPr>
        <w:t>It may be illustrative to size the opportunities for Texas. A first rough estimate of the scale of the opportunity can be highlighted with the following examples.</w:t>
      </w:r>
    </w:p>
    <w:p w14:paraId="762F748C" w14:textId="528921CE" w:rsidR="002F141A" w:rsidRPr="002C7CD3" w:rsidRDefault="002F141A" w:rsidP="000B5BFC">
      <w:pPr>
        <w:pStyle w:val="ListParagraph"/>
        <w:numPr>
          <w:ilvl w:val="0"/>
          <w:numId w:val="14"/>
        </w:numPr>
        <w:spacing w:line="360" w:lineRule="auto"/>
        <w:contextualSpacing w:val="0"/>
        <w:jc w:val="both"/>
        <w:rPr>
          <w:rFonts w:eastAsia="Times New Roman"/>
          <w:color w:val="000000"/>
          <w:sz w:val="22"/>
        </w:rPr>
      </w:pPr>
      <w:r w:rsidRPr="002C7CD3">
        <w:rPr>
          <w:rFonts w:eastAsia="Times New Roman"/>
          <w:color w:val="000000"/>
          <w:sz w:val="22"/>
        </w:rPr>
        <w:t>Home charging typically happens at 7kW. When 1 million EV drivers come home from work and hook-up their EV between 5 and 7 pm, they</w:t>
      </w:r>
      <w:r w:rsidR="00566785">
        <w:rPr>
          <w:rFonts w:eastAsia="Times New Roman"/>
          <w:color w:val="000000"/>
          <w:sz w:val="22"/>
        </w:rPr>
        <w:t xml:space="preserve"> could</w:t>
      </w:r>
      <w:r w:rsidRPr="002C7CD3">
        <w:rPr>
          <w:rFonts w:eastAsia="Times New Roman"/>
          <w:color w:val="000000"/>
          <w:sz w:val="22"/>
        </w:rPr>
        <w:t xml:space="preserve"> potentially contribute to peak demand by as much 7GW. This would be a worst-case to illustrate the order of magnitude. EV charging at peak cuts into reserve margins. 2 million EV drivers will consume more than the current ERCOT reserve margins. ERCOT expects 3 million vehicles on the road by 2030 and it expects that a</w:t>
      </w:r>
      <w:r w:rsidRPr="002C7CD3">
        <w:rPr>
          <w:sz w:val="22"/>
        </w:rPr>
        <w:t>pproximately 5 to 6 GW of charging demand was expected for hours ending 1600 through 1800 in what is referred to as a high penetration scenario.</w:t>
      </w:r>
      <w:r w:rsidRPr="002C7CD3">
        <w:rPr>
          <w:rStyle w:val="FootnoteReference"/>
          <w:rFonts w:eastAsia="Times New Roman"/>
          <w:color w:val="000000"/>
          <w:sz w:val="22"/>
        </w:rPr>
        <w:footnoteReference w:id="36"/>
      </w:r>
    </w:p>
    <w:p w14:paraId="1597165F" w14:textId="77777777" w:rsidR="002F141A" w:rsidRPr="002C7CD3" w:rsidRDefault="002F141A" w:rsidP="000B5BFC">
      <w:pPr>
        <w:pStyle w:val="ListParagraph"/>
        <w:numPr>
          <w:ilvl w:val="0"/>
          <w:numId w:val="14"/>
        </w:numPr>
        <w:spacing w:line="360" w:lineRule="auto"/>
        <w:contextualSpacing w:val="0"/>
        <w:jc w:val="both"/>
        <w:rPr>
          <w:rFonts w:eastAsia="Times New Roman"/>
          <w:color w:val="000000"/>
          <w:sz w:val="22"/>
        </w:rPr>
      </w:pPr>
      <w:r w:rsidRPr="002C7CD3">
        <w:rPr>
          <w:rFonts w:eastAsia="Times New Roman"/>
          <w:color w:val="000000"/>
          <w:sz w:val="22"/>
        </w:rPr>
        <w:t>Demand from a complete electrification of transportation is expected to add about 30% of load</w:t>
      </w:r>
      <w:r w:rsidRPr="002C7CD3">
        <w:rPr>
          <w:rStyle w:val="FootnoteReference"/>
          <w:rFonts w:eastAsia="Times New Roman"/>
          <w:color w:val="000000"/>
          <w:sz w:val="22"/>
        </w:rPr>
        <w:footnoteReference w:id="37"/>
      </w:r>
      <w:r w:rsidRPr="002C7CD3">
        <w:rPr>
          <w:rFonts w:eastAsia="Times New Roman"/>
          <w:color w:val="000000"/>
          <w:sz w:val="22"/>
        </w:rPr>
        <w:t>, or 20+GW for Texas most if which can be handled with the existing amount of generation when charging is managed.</w:t>
      </w:r>
    </w:p>
    <w:p w14:paraId="6042098F" w14:textId="6CAB6250" w:rsidR="008E01EC" w:rsidRPr="002C7CD3" w:rsidRDefault="002F141A" w:rsidP="000B5BFC">
      <w:pPr>
        <w:spacing w:line="360" w:lineRule="auto"/>
        <w:jc w:val="both"/>
        <w:rPr>
          <w:sz w:val="22"/>
        </w:rPr>
      </w:pPr>
      <w:r w:rsidRPr="002C7CD3">
        <w:rPr>
          <w:sz w:val="22"/>
        </w:rPr>
        <w:t xml:space="preserve">In order to provide a comprehensive estimate of the overall impact of electric vehicle charging on the energy and peak demand forecasts, </w:t>
      </w:r>
      <w:r w:rsidRPr="002C7CD3">
        <w:rPr>
          <w:b/>
          <w:sz w:val="22"/>
        </w:rPr>
        <w:t>TxETRA recommends</w:t>
      </w:r>
      <w:r w:rsidRPr="002C7CD3">
        <w:rPr>
          <w:sz w:val="22"/>
        </w:rPr>
        <w:t xml:space="preserve"> a study be directed by the </w:t>
      </w:r>
      <w:r w:rsidR="00424E08">
        <w:rPr>
          <w:sz w:val="22"/>
        </w:rPr>
        <w:t>Commission</w:t>
      </w:r>
      <w:r w:rsidRPr="002C7CD3">
        <w:rPr>
          <w:sz w:val="22"/>
        </w:rPr>
        <w:t xml:space="preserve">. Texas utilities can provide their individual forecasts for the integration of electric vehicles in the next ten years in terms of energy and peak demand, and the regional organizations (such as ERCOT and SPP) can perform the demand and energy integration studies required to determine the system impacts. </w:t>
      </w:r>
    </w:p>
    <w:p w14:paraId="0FC51CF0" w14:textId="77777777" w:rsidR="00013402" w:rsidRDefault="00013402">
      <w:pPr>
        <w:spacing w:after="160" w:line="259" w:lineRule="auto"/>
        <w:ind w:firstLine="0"/>
        <w:rPr>
          <w:rFonts w:eastAsiaTheme="minorEastAsia" w:cs="Times New Roman"/>
          <w:b/>
          <w:bCs/>
          <w:color w:val="000000" w:themeColor="text1"/>
          <w:sz w:val="22"/>
        </w:rPr>
      </w:pPr>
      <w:r>
        <w:rPr>
          <w:rFonts w:cs="Times New Roman"/>
          <w:b/>
          <w:bCs/>
          <w:color w:val="000000" w:themeColor="text1"/>
          <w:sz w:val="22"/>
        </w:rPr>
        <w:br w:type="page"/>
      </w:r>
    </w:p>
    <w:p w14:paraId="359E6970" w14:textId="58FA275E" w:rsidR="002F141A" w:rsidRPr="002C7CD3" w:rsidRDefault="008E01EC" w:rsidP="000B5BFC">
      <w:pPr>
        <w:pStyle w:val="NoSpacing"/>
        <w:spacing w:line="360" w:lineRule="auto"/>
        <w:jc w:val="both"/>
        <w:rPr>
          <w:rFonts w:ascii="Times New Roman" w:hAnsi="Times New Roman" w:cs="Times New Roman"/>
          <w:b/>
          <w:bCs/>
          <w:color w:val="000000" w:themeColor="text1"/>
          <w:sz w:val="22"/>
          <w:szCs w:val="22"/>
        </w:rPr>
      </w:pPr>
      <w:r w:rsidRPr="002C7CD3">
        <w:rPr>
          <w:rFonts w:ascii="Times New Roman" w:hAnsi="Times New Roman" w:cs="Times New Roman"/>
          <w:b/>
          <w:bCs/>
          <w:color w:val="000000" w:themeColor="text1"/>
          <w:sz w:val="22"/>
          <w:szCs w:val="22"/>
        </w:rPr>
        <w:lastRenderedPageBreak/>
        <w:t>QUESTION #8</w:t>
      </w:r>
    </w:p>
    <w:p w14:paraId="2484C2EA" w14:textId="34013D12" w:rsidR="009F7A22" w:rsidRPr="002C7CD3" w:rsidRDefault="009F7A22" w:rsidP="00FE0E92">
      <w:pPr>
        <w:spacing w:line="240" w:lineRule="auto"/>
        <w:ind w:firstLine="0"/>
        <w:jc w:val="both"/>
        <w:rPr>
          <w:rFonts w:cs="Times New Roman"/>
          <w:b/>
          <w:bCs/>
          <w:sz w:val="22"/>
        </w:rPr>
      </w:pPr>
      <w:r w:rsidRPr="002C7CD3">
        <w:rPr>
          <w:rFonts w:cs="Times New Roman"/>
          <w:b/>
          <w:bCs/>
          <w:sz w:val="22"/>
        </w:rPr>
        <w:t xml:space="preserve">What are the capabilities of electric vehicle related technologies, such as vehicle-to-grid, to participate in wholesale electricity markets? </w:t>
      </w:r>
    </w:p>
    <w:p w14:paraId="143661A1" w14:textId="0374E61D" w:rsidR="009F7A22" w:rsidRPr="002C7CD3" w:rsidRDefault="009F7A22" w:rsidP="000B5BFC">
      <w:pPr>
        <w:spacing w:before="240" w:line="360" w:lineRule="auto"/>
        <w:jc w:val="both"/>
        <w:rPr>
          <w:rFonts w:cs="Times New Roman"/>
          <w:sz w:val="22"/>
        </w:rPr>
      </w:pPr>
      <w:r w:rsidRPr="002C7CD3">
        <w:rPr>
          <w:rFonts w:cs="Times New Roman"/>
          <w:sz w:val="22"/>
        </w:rPr>
        <w:t xml:space="preserve">EV technologies can participate directly in wholesale electric markets to the same extent as any load resource or energy storage resource can participate in wholesale electric markets.  At this time, though, the opportunity for direct participation in wholesale electric markets is limited due to the relatively small number of EVs and charging facilities located within ERCOT, their smaller size relative to other loads and energy storage resources, limitations that </w:t>
      </w:r>
      <w:r w:rsidR="008F2E45">
        <w:rPr>
          <w:rFonts w:cs="Times New Roman"/>
          <w:sz w:val="22"/>
        </w:rPr>
        <w:t xml:space="preserve">some </w:t>
      </w:r>
      <w:r w:rsidRPr="002C7CD3">
        <w:rPr>
          <w:rFonts w:cs="Times New Roman"/>
          <w:sz w:val="22"/>
        </w:rPr>
        <w:t xml:space="preserve">manufacturers impose on EVs (such as discharging a vehicle’s battery to the grid), limited opportunities that exist in the wholesale market for aggregated distributed energy resources to participate, and limited economic signals that can support participation in wholesale electric markets by EV technologies.  As a result, while the potential participation of EV technologies in wholesale electricity markets is a broad issue that the Commission should keep an eye on and work to address with ERCOT in anticipation of the future growth of EV technologies, it is not an issue that should distract the Commission from focusing on areas in which EVs have a real opportunity to benefit the electricity market today or in the very near future.  </w:t>
      </w:r>
    </w:p>
    <w:p w14:paraId="054C1012" w14:textId="236C7AAF" w:rsidR="009F7A22" w:rsidRPr="002C7CD3" w:rsidRDefault="009F7A22" w:rsidP="000B5BFC">
      <w:pPr>
        <w:spacing w:line="360" w:lineRule="auto"/>
        <w:jc w:val="both"/>
        <w:rPr>
          <w:rFonts w:cs="Times New Roman"/>
          <w:sz w:val="22"/>
        </w:rPr>
      </w:pPr>
      <w:r w:rsidRPr="002C7CD3">
        <w:rPr>
          <w:rFonts w:cs="Times New Roman"/>
          <w:sz w:val="22"/>
        </w:rPr>
        <w:t xml:space="preserve">Today, EV technologies in </w:t>
      </w:r>
      <w:r w:rsidR="00566785">
        <w:rPr>
          <w:rFonts w:cs="Times New Roman"/>
          <w:sz w:val="22"/>
        </w:rPr>
        <w:t>other</w:t>
      </w:r>
      <w:r w:rsidRPr="002C7CD3">
        <w:rPr>
          <w:rFonts w:cs="Times New Roman"/>
          <w:sz w:val="22"/>
        </w:rPr>
        <w:t xml:space="preserve"> jurisdictions across the country support the distribution grid as a flexible load resource that can shift their consumption from the electric grid quickly and strategically.</w:t>
      </w:r>
      <w:r w:rsidR="00681CBF">
        <w:rPr>
          <w:rStyle w:val="FootnoteReference"/>
          <w:rFonts w:cs="Times New Roman"/>
          <w:sz w:val="22"/>
        </w:rPr>
        <w:footnoteReference w:id="38"/>
      </w:r>
      <w:r w:rsidRPr="002C7CD3">
        <w:rPr>
          <w:rFonts w:cs="Times New Roman"/>
          <w:sz w:val="22"/>
        </w:rPr>
        <w:t xml:space="preserve">  </w:t>
      </w:r>
      <w:r w:rsidR="00566785">
        <w:rPr>
          <w:rFonts w:cs="Times New Roman"/>
          <w:sz w:val="22"/>
        </w:rPr>
        <w:t>As discussed above, t</w:t>
      </w:r>
      <w:r w:rsidRPr="002C7CD3">
        <w:rPr>
          <w:rFonts w:cs="Times New Roman"/>
          <w:sz w:val="22"/>
        </w:rPr>
        <w:t>hese technologies have the potential to be more flexible in their demand response capabilities than many other load or energy storage resources.  The opportunity to provide these demand response and load shifting capabilities can be supported by direct signals to EV chargers (active smart or managed charging), as well as with well-defined time of use pricing (passive smart or managed charging).</w:t>
      </w:r>
    </w:p>
    <w:p w14:paraId="521126F4" w14:textId="10C67730" w:rsidR="009F7A22" w:rsidRPr="002C7CD3" w:rsidRDefault="009F7A22" w:rsidP="000B5BFC">
      <w:pPr>
        <w:spacing w:line="360" w:lineRule="auto"/>
        <w:jc w:val="both"/>
        <w:rPr>
          <w:rFonts w:cs="Times New Roman"/>
          <w:sz w:val="22"/>
        </w:rPr>
      </w:pPr>
      <w:r w:rsidRPr="002C7CD3">
        <w:rPr>
          <w:rFonts w:cs="Times New Roman"/>
          <w:sz w:val="22"/>
        </w:rPr>
        <w:t xml:space="preserve">The Commission and ERCOT should be forward-looking to consider the ways in which EV technologies may be able to participate in the wholesale market so that the predicates can be established that are necessary to allow these technologies to support reliable operation of the electric grid.  Enabling such participation also has the potential to provide additional revenue that can make these vehicles and their charging stations more affordable – to residential consumers, business customers with fleets of light duty vehicles, large commercial customers with medium and heavy duty electric vehicles, and even governmental entities such as school districts with fleets of electric buses.  The Commission and ERCOT should develop the rules and protocols necessary to enable the aggregation and deployment of these EVs and their charging stations to provide demand response.  In other states, aggregated demand response provided by EVs already is being dispatched by the grid operator on a regular basis, however this has been </w:t>
      </w:r>
      <w:r w:rsidRPr="002C7CD3">
        <w:rPr>
          <w:rFonts w:cs="Times New Roman"/>
          <w:sz w:val="22"/>
        </w:rPr>
        <w:lastRenderedPageBreak/>
        <w:t>relatively small in scope.</w:t>
      </w:r>
      <w:r w:rsidRPr="002C7CD3">
        <w:rPr>
          <w:rStyle w:val="FootnoteReference"/>
          <w:rFonts w:cs="Times New Roman"/>
          <w:sz w:val="22"/>
        </w:rPr>
        <w:footnoteReference w:id="39"/>
      </w:r>
      <w:r w:rsidRPr="002C7CD3">
        <w:rPr>
          <w:rFonts w:cs="Times New Roman"/>
          <w:sz w:val="22"/>
        </w:rPr>
        <w:t xml:space="preserve">  In the longer term, this participation may expand to include the discharge of stored energy to meet market needs (V2G).</w:t>
      </w:r>
      <w:r w:rsidRPr="002C7CD3">
        <w:rPr>
          <w:rStyle w:val="FootnoteReference"/>
          <w:rFonts w:cs="Times New Roman"/>
          <w:sz w:val="22"/>
        </w:rPr>
        <w:footnoteReference w:id="40"/>
      </w:r>
      <w:r w:rsidRPr="002C7CD3">
        <w:rPr>
          <w:rFonts w:cs="Times New Roman"/>
          <w:sz w:val="22"/>
        </w:rPr>
        <w:t xml:space="preserve"> In any event, though, as the Commission considers these issues, it is important to recognize that technology and related capabilities already are and will continue to rapidly evolve.  Thus, longer term projections – more than 5 years</w:t>
      </w:r>
      <w:r w:rsidR="008F2E45">
        <w:rPr>
          <w:rFonts w:cs="Times New Roman"/>
          <w:sz w:val="22"/>
        </w:rPr>
        <w:t xml:space="preserve"> </w:t>
      </w:r>
      <w:r w:rsidRPr="002C7CD3">
        <w:rPr>
          <w:rFonts w:cs="Times New Roman"/>
          <w:sz w:val="22"/>
        </w:rPr>
        <w:t xml:space="preserve">– </w:t>
      </w:r>
      <w:r w:rsidR="00BE734C">
        <w:rPr>
          <w:rFonts w:cs="Times New Roman"/>
          <w:sz w:val="22"/>
        </w:rPr>
        <w:t>may</w:t>
      </w:r>
      <w:r w:rsidRPr="002C7CD3">
        <w:rPr>
          <w:rFonts w:cs="Times New Roman"/>
          <w:sz w:val="22"/>
        </w:rPr>
        <w:t xml:space="preserve"> be too speculative to support major policy or wholesale market reforms.  </w:t>
      </w:r>
    </w:p>
    <w:p w14:paraId="7710431E" w14:textId="77777777" w:rsidR="009F7A22" w:rsidRPr="002C7CD3" w:rsidRDefault="009F7A22" w:rsidP="000B5BFC">
      <w:pPr>
        <w:spacing w:line="360" w:lineRule="auto"/>
        <w:jc w:val="both"/>
        <w:rPr>
          <w:rFonts w:cs="Times New Roman"/>
          <w:sz w:val="22"/>
        </w:rPr>
      </w:pPr>
      <w:r w:rsidRPr="002C7CD3">
        <w:rPr>
          <w:rFonts w:cs="Times New Roman"/>
          <w:b/>
          <w:bCs/>
          <w:sz w:val="22"/>
        </w:rPr>
        <w:t>1.</w:t>
      </w:r>
      <w:r w:rsidRPr="002C7CD3">
        <w:rPr>
          <w:rFonts w:cs="Times New Roman"/>
          <w:b/>
          <w:bCs/>
          <w:sz w:val="22"/>
        </w:rPr>
        <w:tab/>
        <w:t>EV Technology and Demand Response</w:t>
      </w:r>
    </w:p>
    <w:p w14:paraId="45EBC5FE" w14:textId="77777777" w:rsidR="009F7A22" w:rsidRPr="002C7CD3" w:rsidRDefault="009F7A22" w:rsidP="000B5BFC">
      <w:pPr>
        <w:spacing w:line="360" w:lineRule="auto"/>
        <w:jc w:val="both"/>
        <w:rPr>
          <w:rFonts w:cs="Times New Roman"/>
          <w:sz w:val="22"/>
        </w:rPr>
      </w:pPr>
      <w:r w:rsidRPr="002C7CD3">
        <w:rPr>
          <w:rFonts w:cs="Times New Roman"/>
          <w:sz w:val="22"/>
        </w:rPr>
        <w:t xml:space="preserve">A key opportunity for EV technology to participate in wholesale markets is as a demand response resource.  In many instances, the time for charging an EV will be flexible, and the opportunity to aggregate EVs and exercise control over their charging may be similar to air conditioning management programs provided by retail electric providers and other load serving entities.  However, EVs are not like air conditioners since they are mobile, and their charging needs do not necessarily correlate to weather patterns in a region.  They also can be more flexible in their operation than an air conditioner.  An EV owner who drives their EV from home to work and parks the vehicle at their office generally will not be as concerned about when the EV is charged during the day as much as the state of charge at the end of the workday when they drive home.  This flexibility provides a significant opportunity to modulate the times of charging for demand response purposes.    </w:t>
      </w:r>
    </w:p>
    <w:p w14:paraId="011770ED" w14:textId="77777777" w:rsidR="009F7A22" w:rsidRPr="002C7CD3" w:rsidRDefault="009F7A22" w:rsidP="000B5BFC">
      <w:pPr>
        <w:spacing w:line="360" w:lineRule="auto"/>
        <w:jc w:val="both"/>
        <w:rPr>
          <w:rFonts w:cs="Times New Roman"/>
          <w:sz w:val="22"/>
        </w:rPr>
      </w:pPr>
      <w:r w:rsidRPr="002C7CD3">
        <w:rPr>
          <w:rFonts w:cs="Times New Roman"/>
          <w:sz w:val="22"/>
        </w:rPr>
        <w:t>A key limitation in the potential participation of EV technologies (as well as all other load resources and smaller energy storage resources) in the wholesale electric markets is the continued difficulty to aggregate and offer smaller resources into the market for demand response. ERCOT previously considered the issue of how load could be aggregated and bid into the wholesale market.</w:t>
      </w:r>
      <w:r w:rsidRPr="002C7CD3">
        <w:rPr>
          <w:rFonts w:cs="Times New Roman"/>
          <w:sz w:val="22"/>
          <w:vertAlign w:val="superscript"/>
        </w:rPr>
        <w:footnoteReference w:id="41"/>
      </w:r>
      <w:r w:rsidRPr="002C7CD3">
        <w:rPr>
          <w:rFonts w:cs="Times New Roman"/>
          <w:sz w:val="22"/>
        </w:rPr>
        <w:t xml:space="preserve">  At this time, though, only loads aggregated by a single load serving entity, such as a retail electric provider, municipal electric utility, or electric cooperative may be bid into the wholesale market.</w:t>
      </w:r>
      <w:r w:rsidRPr="002C7CD3">
        <w:rPr>
          <w:rStyle w:val="FootnoteReference"/>
          <w:rFonts w:cs="Times New Roman"/>
          <w:sz w:val="22"/>
        </w:rPr>
        <w:footnoteReference w:id="42"/>
      </w:r>
      <w:r w:rsidRPr="002C7CD3">
        <w:rPr>
          <w:rFonts w:cs="Times New Roman"/>
          <w:sz w:val="22"/>
        </w:rPr>
        <w:t xml:space="preserve">  To date, no such entity has managed to comply with ERCOT’s processes to make this work.  Not only does ERCOT need to enable these current load serving entities to successfully aggregate and bid these resources into the wholesale market, but also enable third party aggregators to aggregate and bid their resources into the wholesale market.</w:t>
      </w:r>
    </w:p>
    <w:p w14:paraId="7B53EACB" w14:textId="77777777" w:rsidR="009F7A22" w:rsidRPr="002C7CD3" w:rsidRDefault="009F7A22" w:rsidP="000B5BFC">
      <w:pPr>
        <w:spacing w:line="360" w:lineRule="auto"/>
        <w:jc w:val="both"/>
        <w:rPr>
          <w:rFonts w:cs="Times New Roman"/>
          <w:sz w:val="22"/>
        </w:rPr>
      </w:pPr>
      <w:r w:rsidRPr="002C7CD3">
        <w:rPr>
          <w:rFonts w:cs="Times New Roman"/>
          <w:sz w:val="22"/>
        </w:rPr>
        <w:t xml:space="preserve">For EV technologies, the difficulty to meet ERCOT’s current requirements may be even more difficult since the individual resources are mobile and likely will not be located in the same place throughout a day.  A more flexible approach, both in terms of who can aggregate these resources and their locations, will be necessary to enable their integration into the wholesale market.  </w:t>
      </w:r>
    </w:p>
    <w:p w14:paraId="5D635E83" w14:textId="77777777" w:rsidR="009F7A22" w:rsidRPr="002C7CD3" w:rsidRDefault="009F7A22" w:rsidP="000B5BFC">
      <w:pPr>
        <w:spacing w:line="360" w:lineRule="auto"/>
        <w:jc w:val="both"/>
        <w:rPr>
          <w:rFonts w:cs="Times New Roman"/>
          <w:sz w:val="22"/>
        </w:rPr>
      </w:pPr>
      <w:r w:rsidRPr="002C7CD3">
        <w:rPr>
          <w:rFonts w:cs="Times New Roman"/>
          <w:sz w:val="22"/>
        </w:rPr>
        <w:lastRenderedPageBreak/>
        <w:t>Even in the absence of participating in ERCOT’s wholesale markets, though, aggregations of EV technologies may be used to benefit load-serving entities directly in the same way these retail electric providers, municipal electric utilities, and electric cooperatives already aggregate customer loads like their customers’ air conditioners to provide demand response as a hedge to reduce their energy procurement obligations during system peak demand conditions.  Smart charging technologies that have communications capabilities are able to enable these strategies in a cost-effective manner.</w:t>
      </w:r>
    </w:p>
    <w:p w14:paraId="482DBB34" w14:textId="77777777" w:rsidR="009F7A22" w:rsidRPr="002C7CD3" w:rsidRDefault="009F7A22" w:rsidP="00861959">
      <w:pPr>
        <w:spacing w:line="360" w:lineRule="auto"/>
        <w:jc w:val="both"/>
        <w:rPr>
          <w:rFonts w:cs="Times New Roman"/>
          <w:sz w:val="22"/>
        </w:rPr>
      </w:pPr>
      <w:r w:rsidRPr="002C7CD3">
        <w:rPr>
          <w:rFonts w:cs="Times New Roman"/>
          <w:b/>
          <w:bCs/>
          <w:sz w:val="22"/>
        </w:rPr>
        <w:t>2.</w:t>
      </w:r>
      <w:r w:rsidRPr="002C7CD3">
        <w:rPr>
          <w:rFonts w:cs="Times New Roman"/>
          <w:b/>
          <w:bCs/>
          <w:sz w:val="22"/>
        </w:rPr>
        <w:tab/>
        <w:t>EV Technologies Providing Energy to the Electric Grid</w:t>
      </w:r>
    </w:p>
    <w:p w14:paraId="1D739E26" w14:textId="77777777" w:rsidR="009F7A22" w:rsidRPr="002C7CD3" w:rsidRDefault="009F7A22" w:rsidP="000B5BFC">
      <w:pPr>
        <w:spacing w:line="360" w:lineRule="auto"/>
        <w:jc w:val="both"/>
        <w:rPr>
          <w:rFonts w:cs="Times New Roman"/>
          <w:sz w:val="22"/>
        </w:rPr>
      </w:pPr>
      <w:r w:rsidRPr="002C7CD3">
        <w:rPr>
          <w:rFonts w:cs="Times New Roman"/>
          <w:sz w:val="22"/>
        </w:rPr>
        <w:t>As discussed above, there are a number of pilots underway to evaluate the potential for EVs to directly support reliable operations of the wholesale electric market.  There remain a number of practical limitations to develop these pilots in ERCOT, though.  In addition to the inability to aggregate distributed energy storage resources and bid them into the wholesale market, a key impediment is the potential that discharging an EV’s battery for purposes other than to operate the EV may void a manufacturer’s warranty for the vehicle and its battery.  At this time, the only consumer vehicle that allows this activity is the Nissan Leaf.</w:t>
      </w:r>
      <w:r w:rsidRPr="002C7CD3">
        <w:rPr>
          <w:rStyle w:val="FootnoteReference"/>
          <w:rFonts w:cs="Times New Roman"/>
          <w:sz w:val="22"/>
        </w:rPr>
        <w:footnoteReference w:id="43"/>
      </w:r>
      <w:r w:rsidRPr="002C7CD3">
        <w:rPr>
          <w:rFonts w:cs="Times New Roman"/>
          <w:sz w:val="22"/>
        </w:rPr>
        <w:t xml:space="preserve">  In the absence of a broader opportunity to pursue this with other vehicles, this will be a significant obstacle to harness this potential resource.</w:t>
      </w:r>
    </w:p>
    <w:p w14:paraId="7786CCA0" w14:textId="2C0B50BE" w:rsidR="009F7A22" w:rsidRPr="002C7CD3" w:rsidRDefault="009F7A22" w:rsidP="000B5BFC">
      <w:pPr>
        <w:spacing w:line="360" w:lineRule="auto"/>
        <w:jc w:val="both"/>
        <w:rPr>
          <w:rFonts w:cs="Times New Roman"/>
          <w:sz w:val="22"/>
        </w:rPr>
      </w:pPr>
      <w:r w:rsidRPr="002C7CD3">
        <w:rPr>
          <w:rFonts w:cs="Times New Roman"/>
          <w:sz w:val="22"/>
        </w:rPr>
        <w:t>The relative size of different electric vehicles is another factor in the opportunity for EVs to support the electric grid.  For example, as a practical matter, it may be more difficult to aggregate the number of consumer and light duty commercial vehicles to provide the same potential support to the electric grid as an aggregation of medium and heavy duty EVs.  In the case of larger EVs that are parked at the same location during the day or night, such as school buses, the potential to aggregate the capabilities of these vehicles may be greatly simplified and enable them to provide services directly to the wholesale market.  In the case of school buses in particular, these vehicles tend to have limited operation times in the mornings and later afternoons, and in the afternoon and evenings, these vehicles are parked and, other than ensuring a sufficient charge to serve their specified route, these vehicles can be available for discharge during the middle of the day</w:t>
      </w:r>
      <w:r w:rsidR="008F2E45">
        <w:rPr>
          <w:rFonts w:cs="Times New Roman"/>
          <w:sz w:val="22"/>
        </w:rPr>
        <w:t>, early evening</w:t>
      </w:r>
      <w:r w:rsidRPr="002C7CD3">
        <w:rPr>
          <w:rFonts w:cs="Times New Roman"/>
          <w:sz w:val="22"/>
        </w:rPr>
        <w:t xml:space="preserve"> and at night to address system needs as well as charging at night and other off-peak times to take advantage of abundant energy generated by renewable resources.</w:t>
      </w:r>
    </w:p>
    <w:p w14:paraId="09651881" w14:textId="492540FF" w:rsidR="009F7A22" w:rsidRPr="002C7CD3" w:rsidRDefault="009F7A22" w:rsidP="000B5BFC">
      <w:pPr>
        <w:spacing w:line="360" w:lineRule="auto"/>
        <w:jc w:val="both"/>
        <w:rPr>
          <w:rFonts w:cs="Times New Roman"/>
          <w:sz w:val="22"/>
        </w:rPr>
      </w:pPr>
      <w:r w:rsidRPr="002C7CD3">
        <w:rPr>
          <w:rFonts w:cs="Times New Roman"/>
          <w:sz w:val="22"/>
        </w:rPr>
        <w:t>In addition to considering the opportunity to utilize the energy stored in EVs, there may be opportunities for energy storage enabled charging stations to participate in the wholesale electric market. These resources, which will be much larger than the batteries in individual vehicles, have the potential to participate in the wholesale energy market on the same terms as any other large energy storage resource as long as they balance their participation in the market with their need to support their charging functions as well.</w:t>
      </w:r>
    </w:p>
    <w:p w14:paraId="45854401" w14:textId="2C863672" w:rsidR="000B4348" w:rsidRDefault="009F7A22" w:rsidP="000B5BFC">
      <w:pPr>
        <w:spacing w:line="360" w:lineRule="auto"/>
        <w:jc w:val="both"/>
        <w:rPr>
          <w:rFonts w:cs="Times New Roman"/>
          <w:szCs w:val="24"/>
        </w:rPr>
      </w:pPr>
      <w:r w:rsidRPr="002C7CD3">
        <w:rPr>
          <w:rFonts w:cs="Times New Roman"/>
          <w:sz w:val="22"/>
        </w:rPr>
        <w:lastRenderedPageBreak/>
        <w:t xml:space="preserve">A key benefit of the ERCOT market that will enable these potential uses to develop is its pricing transparency.  This visibility can enable potential participants to evaluate the costs and benefits of potential strategies for participating in the wholesale electric market. Nonetheless, due to the technical challenges with V2G technology as discussed above, which likely won’t be resolved in the near term, a focus instead on V1G technology and grid integration is appropriate, which can provide much of the value of V2G with current-state technology and less complication.    </w:t>
      </w:r>
    </w:p>
    <w:p w14:paraId="33E38709" w14:textId="77777777" w:rsidR="000B4348" w:rsidRDefault="000B4348" w:rsidP="000B5BFC">
      <w:pPr>
        <w:spacing w:after="160" w:line="360" w:lineRule="auto"/>
        <w:ind w:firstLine="0"/>
        <w:rPr>
          <w:rFonts w:cs="Times New Roman"/>
          <w:szCs w:val="24"/>
        </w:rPr>
      </w:pPr>
      <w:r>
        <w:rPr>
          <w:rFonts w:cs="Times New Roman"/>
          <w:szCs w:val="24"/>
        </w:rPr>
        <w:br w:type="page"/>
      </w:r>
    </w:p>
    <w:p w14:paraId="6A655C39" w14:textId="77777777" w:rsidR="000B4348" w:rsidRPr="002C7CD3" w:rsidRDefault="000B4348" w:rsidP="000B5BFC">
      <w:pPr>
        <w:pStyle w:val="Normal1"/>
        <w:spacing w:line="360" w:lineRule="auto"/>
        <w:jc w:val="both"/>
        <w:rPr>
          <w:rFonts w:ascii="Times New Roman" w:hAnsi="Times New Roman" w:cs="Times New Roman"/>
          <w:b/>
          <w:bCs/>
        </w:rPr>
      </w:pPr>
      <w:r w:rsidRPr="002C7CD3">
        <w:rPr>
          <w:rFonts w:ascii="Times New Roman" w:hAnsi="Times New Roman" w:cs="Times New Roman"/>
          <w:b/>
          <w:bCs/>
        </w:rPr>
        <w:lastRenderedPageBreak/>
        <w:t xml:space="preserve">QUESTION #9 </w:t>
      </w:r>
    </w:p>
    <w:p w14:paraId="324BA242" w14:textId="5BB92FA3" w:rsidR="000B4348" w:rsidRPr="002C7CD3" w:rsidRDefault="000B4348" w:rsidP="00FE0E92">
      <w:pPr>
        <w:pStyle w:val="Normal1"/>
        <w:spacing w:line="240" w:lineRule="auto"/>
        <w:jc w:val="both"/>
        <w:rPr>
          <w:rFonts w:ascii="Times New Roman" w:hAnsi="Times New Roman" w:cs="Times New Roman"/>
          <w:b/>
          <w:bCs/>
        </w:rPr>
      </w:pPr>
      <w:r w:rsidRPr="002C7CD3">
        <w:rPr>
          <w:rFonts w:ascii="Times New Roman" w:hAnsi="Times New Roman" w:cs="Times New Roman"/>
          <w:b/>
          <w:bCs/>
        </w:rPr>
        <w:t>Please explain any preferred or best practice facilities siting and design standards for commercial electric vehicle charging stations and why such standards are recommended.</w:t>
      </w:r>
    </w:p>
    <w:p w14:paraId="0765FA5A" w14:textId="243E3EDE" w:rsidR="000B4348" w:rsidRPr="002C7CD3" w:rsidRDefault="000B4348" w:rsidP="002B6949">
      <w:pPr>
        <w:spacing w:before="240" w:line="360" w:lineRule="auto"/>
        <w:jc w:val="both"/>
        <w:rPr>
          <w:sz w:val="22"/>
        </w:rPr>
      </w:pPr>
      <w:r w:rsidRPr="002C7CD3">
        <w:rPr>
          <w:sz w:val="22"/>
        </w:rPr>
        <w:t>When siting locations for EV charging</w:t>
      </w:r>
      <w:r w:rsidR="00617DBD">
        <w:rPr>
          <w:sz w:val="22"/>
        </w:rPr>
        <w:t xml:space="preserve">, one generally does </w:t>
      </w:r>
      <w:r w:rsidRPr="002C7CD3">
        <w:rPr>
          <w:sz w:val="22"/>
        </w:rPr>
        <w:t xml:space="preserve">not have to take into account as many regulations and code requirements as that of erecting a standard petrol fueling stations. Because electricity is present in almost every location around us, the availability to simply tap into these lines for EVSE infrastructure is easier and cheaper than it's ever been before. The availability of high-power lines along major traffic </w:t>
      </w:r>
      <w:r w:rsidR="00CA69C9">
        <w:rPr>
          <w:sz w:val="22"/>
        </w:rPr>
        <w:t>and</w:t>
      </w:r>
      <w:r w:rsidRPr="002C7CD3">
        <w:rPr>
          <w:sz w:val="22"/>
        </w:rPr>
        <w:t xml:space="preserve"> highway corridors makes the implementations of potential Level 2 (240V) </w:t>
      </w:r>
      <w:r w:rsidR="00CA69C9">
        <w:rPr>
          <w:sz w:val="22"/>
        </w:rPr>
        <w:t>and</w:t>
      </w:r>
      <w:r w:rsidRPr="002C7CD3">
        <w:rPr>
          <w:sz w:val="22"/>
        </w:rPr>
        <w:t xml:space="preserve"> DCFC infrastructure that much easier on the load capacity demands inside such territories. </w:t>
      </w:r>
    </w:p>
    <w:p w14:paraId="1C2A6305" w14:textId="2931A79C" w:rsidR="00A62B1B" w:rsidRPr="002C7CD3" w:rsidRDefault="00617DBD" w:rsidP="002B6949">
      <w:pPr>
        <w:spacing w:line="360" w:lineRule="auto"/>
        <w:jc w:val="both"/>
        <w:rPr>
          <w:sz w:val="22"/>
        </w:rPr>
      </w:pPr>
      <w:r>
        <w:rPr>
          <w:sz w:val="22"/>
        </w:rPr>
        <w:t>In general the developer of</w:t>
      </w:r>
      <w:r w:rsidR="000B4348" w:rsidRPr="002C7CD3">
        <w:rPr>
          <w:sz w:val="22"/>
        </w:rPr>
        <w:t xml:space="preserve"> </w:t>
      </w:r>
      <w:r>
        <w:rPr>
          <w:sz w:val="22"/>
        </w:rPr>
        <w:t xml:space="preserve">an </w:t>
      </w:r>
      <w:r w:rsidR="000B4348" w:rsidRPr="002C7CD3">
        <w:rPr>
          <w:sz w:val="22"/>
        </w:rPr>
        <w:t xml:space="preserve">EVSE charging infrastructure project </w:t>
      </w:r>
      <w:r>
        <w:rPr>
          <w:sz w:val="22"/>
        </w:rPr>
        <w:t xml:space="preserve">will want </w:t>
      </w:r>
      <w:r w:rsidR="000B4348" w:rsidRPr="002C7CD3">
        <w:rPr>
          <w:sz w:val="22"/>
        </w:rPr>
        <w:t xml:space="preserve">to account for future scalability, asset protection, signage </w:t>
      </w:r>
      <w:r w:rsidR="00CA69C9">
        <w:rPr>
          <w:sz w:val="22"/>
        </w:rPr>
        <w:t>and</w:t>
      </w:r>
      <w:r w:rsidR="000B4348" w:rsidRPr="002C7CD3">
        <w:rPr>
          <w:sz w:val="22"/>
        </w:rPr>
        <w:t xml:space="preserve"> striping, in addition to having the location of such assets near other retail, eat</w:t>
      </w:r>
      <w:r w:rsidR="00A03752">
        <w:rPr>
          <w:sz w:val="22"/>
        </w:rPr>
        <w:t>ing</w:t>
      </w:r>
      <w:r w:rsidR="000B4348" w:rsidRPr="002C7CD3">
        <w:rPr>
          <w:sz w:val="22"/>
        </w:rPr>
        <w:t xml:space="preserve"> </w:t>
      </w:r>
      <w:r w:rsidR="00CA69C9">
        <w:rPr>
          <w:sz w:val="22"/>
        </w:rPr>
        <w:t>and</w:t>
      </w:r>
      <w:r w:rsidR="000B4348" w:rsidRPr="002C7CD3">
        <w:rPr>
          <w:sz w:val="22"/>
        </w:rPr>
        <w:t xml:space="preserve"> hospitality </w:t>
      </w:r>
      <w:r w:rsidR="00C016BA">
        <w:rPr>
          <w:sz w:val="22"/>
        </w:rPr>
        <w:t xml:space="preserve">facilities with </w:t>
      </w:r>
      <w:r w:rsidR="000B4348" w:rsidRPr="002C7CD3">
        <w:rPr>
          <w:sz w:val="22"/>
        </w:rPr>
        <w:t xml:space="preserve">complimentary amenities. Layout design for traffic flow, and ease of access off interstates and highways is very important when choosing system design. </w:t>
      </w:r>
    </w:p>
    <w:p w14:paraId="5B14ED22" w14:textId="298B80F0" w:rsidR="00A62B1B" w:rsidRDefault="000B4348" w:rsidP="002B6949">
      <w:pPr>
        <w:spacing w:line="360" w:lineRule="auto"/>
        <w:jc w:val="both"/>
        <w:rPr>
          <w:sz w:val="22"/>
        </w:rPr>
      </w:pPr>
      <w:r w:rsidRPr="002C7CD3">
        <w:rPr>
          <w:sz w:val="22"/>
        </w:rPr>
        <w:t xml:space="preserve">There are tiers of Level 2 </w:t>
      </w:r>
      <w:r w:rsidR="00CA69C9">
        <w:rPr>
          <w:sz w:val="22"/>
        </w:rPr>
        <w:t>and</w:t>
      </w:r>
      <w:r w:rsidRPr="002C7CD3">
        <w:rPr>
          <w:sz w:val="22"/>
        </w:rPr>
        <w:t xml:space="preserve"> DCFC standard design packages that could affect the usage case for the customer. For instance, an energy provider would want to set up a site design for 10-12 350kW DCFC stations at each site as a standard, while a retail provider for a large box store may want to set up 4 50KW DCFC stations for their preference. Ownership of the charging station site may choose not to own, but pursue host agreements from EV and/or EVSE OEMs to lease their land out for charging, where the OEM/EVSE company in this case owns the equipment and takes all profit from usage and the site host gets paid a premium for the lease the land for the site. In this case</w:t>
      </w:r>
      <w:r w:rsidR="00CA69C9">
        <w:rPr>
          <w:sz w:val="22"/>
        </w:rPr>
        <w:t>,</w:t>
      </w:r>
      <w:r w:rsidRPr="002C7CD3">
        <w:rPr>
          <w:sz w:val="22"/>
        </w:rPr>
        <w:t xml:space="preserve"> the EVSE OEM bares the capital cost burden of the equipment and cost of construction and electrical tie-in to the grid. Ownership and/or customers practicing these preferred standards maintain significant leverage as they will not only protect such owners from industry shortcomings, OEM bankruptcies and fallouts, but also help the public as more and more reliability </w:t>
      </w:r>
      <w:r w:rsidR="00CA69C9">
        <w:rPr>
          <w:sz w:val="22"/>
        </w:rPr>
        <w:t>and</w:t>
      </w:r>
      <w:r w:rsidRPr="002C7CD3">
        <w:rPr>
          <w:sz w:val="22"/>
        </w:rPr>
        <w:t xml:space="preserve"> confidence finds its way to public charging standards. </w:t>
      </w:r>
    </w:p>
    <w:p w14:paraId="0EA214D6" w14:textId="41502798" w:rsidR="00774431" w:rsidRDefault="000B4348" w:rsidP="002B6949">
      <w:pPr>
        <w:spacing w:line="360" w:lineRule="auto"/>
        <w:jc w:val="both"/>
        <w:rPr>
          <w:lang w:val="en"/>
        </w:rPr>
      </w:pPr>
      <w:r w:rsidRPr="002C7CD3">
        <w:rPr>
          <w:sz w:val="22"/>
        </w:rPr>
        <w:t xml:space="preserve">Our EV adoption and growth curves yield load demand figures according to the amount of power needed to charge an EV for a single day based on the class and/or type of EV. For this instance, we’ve broken it down to reflect </w:t>
      </w:r>
      <w:r w:rsidR="00CA69C9">
        <w:rPr>
          <w:sz w:val="22"/>
        </w:rPr>
        <w:t>three</w:t>
      </w:r>
      <w:r w:rsidRPr="002C7CD3">
        <w:rPr>
          <w:sz w:val="22"/>
        </w:rPr>
        <w:t xml:space="preserve"> different classes of EV with </w:t>
      </w:r>
      <w:r w:rsidR="00CA69C9">
        <w:rPr>
          <w:sz w:val="22"/>
        </w:rPr>
        <w:t>three</w:t>
      </w:r>
      <w:r w:rsidRPr="002C7CD3">
        <w:rPr>
          <w:sz w:val="22"/>
        </w:rPr>
        <w:t xml:space="preserve"> different growth curve scenarios. Below are our findings, based upon </w:t>
      </w:r>
      <w:r w:rsidR="00A62B1B">
        <w:rPr>
          <w:sz w:val="22"/>
        </w:rPr>
        <w:t>the Projections for Electric Vehicle Deployment 2020 – 2030,</w:t>
      </w:r>
      <w:r w:rsidRPr="002C7CD3">
        <w:rPr>
          <w:sz w:val="22"/>
        </w:rPr>
        <w:t xml:space="preserve"> presented in </w:t>
      </w:r>
      <w:r w:rsidR="006E5A90" w:rsidRPr="002C7CD3">
        <w:rPr>
          <w:sz w:val="22"/>
        </w:rPr>
        <w:t>Question</w:t>
      </w:r>
      <w:r w:rsidRPr="002C7CD3">
        <w:rPr>
          <w:sz w:val="22"/>
        </w:rPr>
        <w:t xml:space="preserve"> #1</w:t>
      </w:r>
      <w:r w:rsidR="00A62B1B">
        <w:rPr>
          <w:sz w:val="22"/>
        </w:rPr>
        <w:t>.</w:t>
      </w:r>
      <w:r w:rsidR="00A62B1B">
        <w:rPr>
          <w:lang w:val="en"/>
        </w:rPr>
        <w:t xml:space="preserve"> </w:t>
      </w:r>
    </w:p>
    <w:p w14:paraId="263B6CF5" w14:textId="77777777" w:rsidR="00774431" w:rsidRDefault="00774431" w:rsidP="000B5BFC">
      <w:pPr>
        <w:spacing w:line="360" w:lineRule="auto"/>
      </w:pPr>
      <w:r>
        <w:br w:type="page"/>
      </w:r>
    </w:p>
    <w:tbl>
      <w:tblPr>
        <w:tblW w:w="8280" w:type="dxa"/>
        <w:jc w:val="center"/>
        <w:tblBorders>
          <w:top w:val="nil"/>
          <w:left w:val="nil"/>
          <w:bottom w:val="nil"/>
          <w:right w:val="nil"/>
          <w:insideH w:val="nil"/>
          <w:insideV w:val="nil"/>
        </w:tblBorders>
        <w:tblLayout w:type="fixed"/>
        <w:tblLook w:val="0600" w:firstRow="0" w:lastRow="0" w:firstColumn="0" w:lastColumn="0" w:noHBand="1" w:noVBand="1"/>
      </w:tblPr>
      <w:tblGrid>
        <w:gridCol w:w="2070"/>
        <w:gridCol w:w="2070"/>
        <w:gridCol w:w="2070"/>
        <w:gridCol w:w="2070"/>
      </w:tblGrid>
      <w:tr w:rsidR="00774431" w:rsidRPr="00406CE9" w14:paraId="3EC7E4D2" w14:textId="77777777" w:rsidTr="00E962CE">
        <w:trPr>
          <w:trHeight w:val="255"/>
          <w:jc w:val="center"/>
        </w:trPr>
        <w:tc>
          <w:tcPr>
            <w:tcW w:w="8280" w:type="dxa"/>
            <w:gridSpan w:val="4"/>
            <w:tcBorders>
              <w:top w:val="single" w:sz="6" w:space="0" w:color="CCCCCC"/>
              <w:left w:val="single" w:sz="6" w:space="0" w:color="CCCCCC"/>
              <w:bottom w:val="single" w:sz="6" w:space="0" w:color="CCCCCC"/>
              <w:right w:val="single" w:sz="6" w:space="0" w:color="CCCCCC"/>
            </w:tcBorders>
            <w:shd w:val="clear" w:color="auto" w:fill="FFFF00"/>
            <w:tcMar>
              <w:top w:w="0" w:type="dxa"/>
              <w:left w:w="40" w:type="dxa"/>
              <w:bottom w:w="0" w:type="dxa"/>
              <w:right w:w="40" w:type="dxa"/>
            </w:tcMar>
            <w:vAlign w:val="bottom"/>
          </w:tcPr>
          <w:p w14:paraId="46E0F29A" w14:textId="5AF93A38"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lastRenderedPageBreak/>
              <w:t>2020</w:t>
            </w:r>
          </w:p>
        </w:tc>
      </w:tr>
      <w:tr w:rsidR="00774431" w:rsidRPr="00406CE9" w14:paraId="27F5CFCF" w14:textId="77777777" w:rsidTr="00E962CE">
        <w:trPr>
          <w:trHeight w:val="255"/>
          <w:jc w:val="center"/>
        </w:trPr>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15A23531" w14:textId="77777777" w:rsidR="00774431" w:rsidRPr="00406CE9" w:rsidRDefault="00774431" w:rsidP="000B5BFC">
            <w:pPr>
              <w:pStyle w:val="Normal1"/>
              <w:widowControl w:val="0"/>
              <w:spacing w:line="360" w:lineRule="auto"/>
              <w:rPr>
                <w:rFonts w:ascii="Times New Roman" w:hAnsi="Times New Roman" w:cs="Times New Roman"/>
                <w:sz w:val="24"/>
                <w:szCs w:val="24"/>
              </w:rPr>
            </w:pP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0ADF57AB" w14:textId="77777777" w:rsidR="00774431" w:rsidRPr="00406CE9" w:rsidRDefault="00774431" w:rsidP="000B5BFC">
            <w:pPr>
              <w:pStyle w:val="Normal1"/>
              <w:widowControl w:val="0"/>
              <w:spacing w:line="360" w:lineRule="auto"/>
              <w:rPr>
                <w:rFonts w:ascii="Times New Roman" w:hAnsi="Times New Roman" w:cs="Times New Roman"/>
                <w:sz w:val="24"/>
                <w:szCs w:val="24"/>
              </w:rPr>
            </w:pP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3532FDCF" w14:textId="77777777" w:rsidR="00774431" w:rsidRPr="00406CE9" w:rsidRDefault="00774431" w:rsidP="000B5BFC">
            <w:pPr>
              <w:pStyle w:val="Normal1"/>
              <w:widowControl w:val="0"/>
              <w:spacing w:line="360" w:lineRule="auto"/>
              <w:rPr>
                <w:rFonts w:ascii="Times New Roman" w:hAnsi="Times New Roman" w:cs="Times New Roman"/>
                <w:sz w:val="24"/>
                <w:szCs w:val="24"/>
              </w:rPr>
            </w:pP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003FBB01" w14:textId="77777777" w:rsidR="00774431" w:rsidRPr="00406CE9" w:rsidRDefault="00774431" w:rsidP="000B5BFC">
            <w:pPr>
              <w:pStyle w:val="Normal1"/>
              <w:widowControl w:val="0"/>
              <w:spacing w:line="360" w:lineRule="auto"/>
              <w:rPr>
                <w:rFonts w:ascii="Times New Roman" w:hAnsi="Times New Roman" w:cs="Times New Roman"/>
                <w:sz w:val="24"/>
                <w:szCs w:val="24"/>
              </w:rPr>
            </w:pPr>
          </w:p>
        </w:tc>
      </w:tr>
      <w:tr w:rsidR="00774431" w:rsidRPr="00406CE9" w14:paraId="46137EE6" w14:textId="77777777" w:rsidTr="00E962CE">
        <w:trPr>
          <w:trHeight w:val="255"/>
          <w:jc w:val="center"/>
        </w:trPr>
        <w:tc>
          <w:tcPr>
            <w:tcW w:w="8280" w:type="dxa"/>
            <w:gridSpan w:val="4"/>
            <w:tcBorders>
              <w:top w:val="single" w:sz="6" w:space="0" w:color="CCCCCC"/>
              <w:left w:val="single" w:sz="6" w:space="0" w:color="CCCCCC"/>
              <w:bottom w:val="single" w:sz="6" w:space="0" w:color="CCCCCC"/>
              <w:right w:val="single" w:sz="6" w:space="0" w:color="CCCCCC"/>
            </w:tcBorders>
            <w:shd w:val="clear" w:color="auto" w:fill="C6D9F0"/>
            <w:tcMar>
              <w:top w:w="0" w:type="dxa"/>
              <w:left w:w="40" w:type="dxa"/>
              <w:bottom w:w="0" w:type="dxa"/>
              <w:right w:w="40" w:type="dxa"/>
            </w:tcMar>
            <w:vAlign w:val="bottom"/>
          </w:tcPr>
          <w:p w14:paraId="1C3205C1"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Scenario: IEA NPS</w:t>
            </w:r>
          </w:p>
        </w:tc>
      </w:tr>
      <w:tr w:rsidR="00774431" w:rsidRPr="00406CE9" w14:paraId="65FADFCC" w14:textId="77777777" w:rsidTr="00E962CE">
        <w:trPr>
          <w:trHeight w:val="375"/>
          <w:jc w:val="center"/>
        </w:trPr>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74F829D3"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Type</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6F696F8C"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Number of EVs</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3AE93D47"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Per Day EV Charging (kWh)</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20E0AA88"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Total Capacity (MW)</w:t>
            </w:r>
          </w:p>
        </w:tc>
      </w:tr>
      <w:tr w:rsidR="00774431" w:rsidRPr="00406CE9" w14:paraId="1387F61A" w14:textId="77777777" w:rsidTr="00E962CE">
        <w:trPr>
          <w:trHeight w:val="255"/>
          <w:jc w:val="center"/>
        </w:trPr>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64687E62"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Light Duty Vehicles</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17C55750"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47,691</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08B34626"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20</w:t>
            </w:r>
          </w:p>
        </w:tc>
        <w:tc>
          <w:tcPr>
            <w:tcW w:w="207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096C81D"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95</w:t>
            </w:r>
          </w:p>
        </w:tc>
      </w:tr>
      <w:tr w:rsidR="00774431" w:rsidRPr="00406CE9" w14:paraId="278C5344" w14:textId="77777777" w:rsidTr="00E962CE">
        <w:trPr>
          <w:trHeight w:val="255"/>
          <w:jc w:val="center"/>
        </w:trPr>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61F8F6B2"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Buses</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271CEDCC"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35</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1BDB6A80"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350</w:t>
            </w:r>
          </w:p>
        </w:tc>
        <w:tc>
          <w:tcPr>
            <w:tcW w:w="207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4B917D9A"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1</w:t>
            </w:r>
          </w:p>
        </w:tc>
      </w:tr>
      <w:tr w:rsidR="00774431" w:rsidRPr="00406CE9" w14:paraId="44DE805B" w14:textId="77777777" w:rsidTr="00E962CE">
        <w:trPr>
          <w:trHeight w:val="255"/>
          <w:jc w:val="center"/>
        </w:trPr>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4D6314C5"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Trucks</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6D20A4D4"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65</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18603C00"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600</w:t>
            </w:r>
          </w:p>
        </w:tc>
        <w:tc>
          <w:tcPr>
            <w:tcW w:w="207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3EEA7D87"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4</w:t>
            </w:r>
          </w:p>
        </w:tc>
      </w:tr>
      <w:tr w:rsidR="00774431" w:rsidRPr="00406CE9" w14:paraId="4A931725" w14:textId="77777777" w:rsidTr="00E962CE">
        <w:trPr>
          <w:trHeight w:val="255"/>
          <w:jc w:val="center"/>
        </w:trPr>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26EEF482" w14:textId="77777777" w:rsidR="00774431" w:rsidRPr="00406CE9" w:rsidRDefault="00774431" w:rsidP="000B5BFC">
            <w:pPr>
              <w:pStyle w:val="Normal1"/>
              <w:widowControl w:val="0"/>
              <w:spacing w:line="360" w:lineRule="auto"/>
              <w:rPr>
                <w:rFonts w:ascii="Times New Roman" w:hAnsi="Times New Roman" w:cs="Times New Roman"/>
                <w:sz w:val="24"/>
                <w:szCs w:val="24"/>
              </w:rPr>
            </w:pP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3826E3B6" w14:textId="77777777" w:rsidR="00774431" w:rsidRPr="00406CE9" w:rsidRDefault="00774431" w:rsidP="000B5BFC">
            <w:pPr>
              <w:pStyle w:val="Normal1"/>
              <w:widowControl w:val="0"/>
              <w:spacing w:line="360" w:lineRule="auto"/>
              <w:rPr>
                <w:rFonts w:ascii="Times New Roman" w:hAnsi="Times New Roman" w:cs="Times New Roman"/>
                <w:sz w:val="24"/>
                <w:szCs w:val="24"/>
              </w:rPr>
            </w:pP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46FA97B5" w14:textId="77777777" w:rsidR="00774431" w:rsidRPr="00406CE9" w:rsidRDefault="00774431" w:rsidP="000B5BFC">
            <w:pPr>
              <w:pStyle w:val="Normal1"/>
              <w:widowControl w:val="0"/>
              <w:spacing w:line="360" w:lineRule="auto"/>
              <w:rPr>
                <w:rFonts w:ascii="Times New Roman" w:hAnsi="Times New Roman" w:cs="Times New Roman"/>
                <w:sz w:val="24"/>
                <w:szCs w:val="24"/>
              </w:rPr>
            </w:pP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169AC563" w14:textId="77777777" w:rsidR="00774431" w:rsidRPr="00406CE9" w:rsidRDefault="00774431" w:rsidP="000B5BFC">
            <w:pPr>
              <w:pStyle w:val="Normal1"/>
              <w:widowControl w:val="0"/>
              <w:spacing w:line="360" w:lineRule="auto"/>
              <w:rPr>
                <w:rFonts w:ascii="Times New Roman" w:hAnsi="Times New Roman" w:cs="Times New Roman"/>
                <w:sz w:val="24"/>
                <w:szCs w:val="24"/>
              </w:rPr>
            </w:pPr>
          </w:p>
        </w:tc>
      </w:tr>
      <w:tr w:rsidR="00774431" w:rsidRPr="00406CE9" w14:paraId="790E8967" w14:textId="77777777" w:rsidTr="00E962CE">
        <w:trPr>
          <w:trHeight w:val="255"/>
          <w:jc w:val="center"/>
        </w:trPr>
        <w:tc>
          <w:tcPr>
            <w:tcW w:w="8280" w:type="dxa"/>
            <w:gridSpan w:val="4"/>
            <w:tcBorders>
              <w:top w:val="single" w:sz="6" w:space="0" w:color="CCCCCC"/>
              <w:left w:val="single" w:sz="6" w:space="0" w:color="CCCCCC"/>
              <w:bottom w:val="single" w:sz="6" w:space="0" w:color="CCCCCC"/>
              <w:right w:val="single" w:sz="6" w:space="0" w:color="CCCCCC"/>
            </w:tcBorders>
            <w:shd w:val="clear" w:color="auto" w:fill="C6D9F0"/>
            <w:tcMar>
              <w:top w:w="0" w:type="dxa"/>
              <w:left w:w="40" w:type="dxa"/>
              <w:bottom w:w="0" w:type="dxa"/>
              <w:right w:w="40" w:type="dxa"/>
            </w:tcMar>
            <w:vAlign w:val="bottom"/>
          </w:tcPr>
          <w:p w14:paraId="07EBB86B"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Scenario: BNEF</w:t>
            </w:r>
          </w:p>
        </w:tc>
      </w:tr>
      <w:tr w:rsidR="00774431" w:rsidRPr="00406CE9" w14:paraId="47F87F0F" w14:textId="77777777" w:rsidTr="00E962CE">
        <w:trPr>
          <w:trHeight w:val="375"/>
          <w:jc w:val="center"/>
        </w:trPr>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3DBA3EE3"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Type</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2D0B57B8"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Number of EVs</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2730EBBD"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Per Day EV Charging (kWh)</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1AD0667D"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Total Capacity (MW)</w:t>
            </w:r>
          </w:p>
        </w:tc>
      </w:tr>
      <w:tr w:rsidR="00774431" w:rsidRPr="00406CE9" w14:paraId="32FDDB72" w14:textId="77777777" w:rsidTr="00E962CE">
        <w:trPr>
          <w:trHeight w:val="255"/>
          <w:jc w:val="center"/>
        </w:trPr>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232F3E63"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Light Duty Vehicles</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667930EE"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55,606</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525719EA"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20</w:t>
            </w:r>
          </w:p>
        </w:tc>
        <w:tc>
          <w:tcPr>
            <w:tcW w:w="207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289FEB8"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111</w:t>
            </w:r>
          </w:p>
        </w:tc>
      </w:tr>
      <w:tr w:rsidR="00774431" w:rsidRPr="00406CE9" w14:paraId="2353E97E" w14:textId="77777777" w:rsidTr="00E962CE">
        <w:trPr>
          <w:trHeight w:val="255"/>
          <w:jc w:val="center"/>
        </w:trPr>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4FD86EF8"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Buses</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3D25EFAB"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212</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73684936"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350</w:t>
            </w:r>
          </w:p>
        </w:tc>
        <w:tc>
          <w:tcPr>
            <w:tcW w:w="207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02CD9182"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7</w:t>
            </w:r>
          </w:p>
        </w:tc>
      </w:tr>
      <w:tr w:rsidR="00774431" w:rsidRPr="00406CE9" w14:paraId="2DB2CFD5" w14:textId="77777777" w:rsidTr="00E962CE">
        <w:trPr>
          <w:trHeight w:val="255"/>
          <w:jc w:val="center"/>
        </w:trPr>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65314244"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Trucks</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2DC82417"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49</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721D43B8"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600</w:t>
            </w:r>
          </w:p>
        </w:tc>
        <w:tc>
          <w:tcPr>
            <w:tcW w:w="207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7BBE0FA"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3</w:t>
            </w:r>
          </w:p>
        </w:tc>
      </w:tr>
      <w:tr w:rsidR="00774431" w:rsidRPr="00406CE9" w14:paraId="0790568B" w14:textId="77777777" w:rsidTr="00E962CE">
        <w:trPr>
          <w:trHeight w:val="255"/>
          <w:jc w:val="center"/>
        </w:trPr>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3FDBDF44" w14:textId="77777777" w:rsidR="00774431" w:rsidRPr="00406CE9" w:rsidRDefault="00774431" w:rsidP="000B5BFC">
            <w:pPr>
              <w:pStyle w:val="Normal1"/>
              <w:widowControl w:val="0"/>
              <w:spacing w:line="360" w:lineRule="auto"/>
              <w:rPr>
                <w:rFonts w:ascii="Times New Roman" w:hAnsi="Times New Roman" w:cs="Times New Roman"/>
                <w:sz w:val="24"/>
                <w:szCs w:val="24"/>
              </w:rPr>
            </w:pP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71111914" w14:textId="77777777" w:rsidR="00774431" w:rsidRPr="00406CE9" w:rsidRDefault="00774431" w:rsidP="000B5BFC">
            <w:pPr>
              <w:pStyle w:val="Normal1"/>
              <w:widowControl w:val="0"/>
              <w:spacing w:line="360" w:lineRule="auto"/>
              <w:rPr>
                <w:rFonts w:ascii="Times New Roman" w:hAnsi="Times New Roman" w:cs="Times New Roman"/>
                <w:sz w:val="24"/>
                <w:szCs w:val="24"/>
              </w:rPr>
            </w:pP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37FC0B41" w14:textId="77777777" w:rsidR="00774431" w:rsidRPr="00406CE9" w:rsidRDefault="00774431" w:rsidP="000B5BFC">
            <w:pPr>
              <w:pStyle w:val="Normal1"/>
              <w:widowControl w:val="0"/>
              <w:spacing w:line="360" w:lineRule="auto"/>
              <w:rPr>
                <w:rFonts w:ascii="Times New Roman" w:hAnsi="Times New Roman" w:cs="Times New Roman"/>
                <w:sz w:val="24"/>
                <w:szCs w:val="24"/>
              </w:rPr>
            </w:pP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5B48812C" w14:textId="77777777" w:rsidR="00774431" w:rsidRPr="00406CE9" w:rsidRDefault="00774431" w:rsidP="000B5BFC">
            <w:pPr>
              <w:pStyle w:val="Normal1"/>
              <w:widowControl w:val="0"/>
              <w:spacing w:line="360" w:lineRule="auto"/>
              <w:rPr>
                <w:rFonts w:ascii="Times New Roman" w:hAnsi="Times New Roman" w:cs="Times New Roman"/>
                <w:sz w:val="24"/>
                <w:szCs w:val="24"/>
              </w:rPr>
            </w:pPr>
          </w:p>
        </w:tc>
      </w:tr>
      <w:tr w:rsidR="00774431" w:rsidRPr="00406CE9" w14:paraId="1D15D248" w14:textId="77777777" w:rsidTr="00E962CE">
        <w:trPr>
          <w:trHeight w:val="255"/>
          <w:jc w:val="center"/>
        </w:trPr>
        <w:tc>
          <w:tcPr>
            <w:tcW w:w="8280" w:type="dxa"/>
            <w:gridSpan w:val="4"/>
            <w:tcBorders>
              <w:top w:val="single" w:sz="6" w:space="0" w:color="CCCCCC"/>
              <w:left w:val="single" w:sz="6" w:space="0" w:color="CCCCCC"/>
              <w:bottom w:val="single" w:sz="6" w:space="0" w:color="CCCCCC"/>
              <w:right w:val="single" w:sz="6" w:space="0" w:color="CCCCCC"/>
            </w:tcBorders>
            <w:shd w:val="clear" w:color="auto" w:fill="C6D9F0"/>
            <w:tcMar>
              <w:top w:w="0" w:type="dxa"/>
              <w:left w:w="40" w:type="dxa"/>
              <w:bottom w:w="0" w:type="dxa"/>
              <w:right w:w="40" w:type="dxa"/>
            </w:tcMar>
            <w:vAlign w:val="bottom"/>
          </w:tcPr>
          <w:p w14:paraId="4754D901"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Scenario: SUV Analogue</w:t>
            </w:r>
          </w:p>
        </w:tc>
      </w:tr>
      <w:tr w:rsidR="00774431" w:rsidRPr="00406CE9" w14:paraId="68E854CB" w14:textId="77777777" w:rsidTr="00E962CE">
        <w:trPr>
          <w:trHeight w:val="375"/>
          <w:jc w:val="center"/>
        </w:trPr>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6930E29B"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Type</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137234F8"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Number of EVs</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1F66CDB6"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Per Day EV Charging (kWh)</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45EE7AC3"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Total Capacity (MW)</w:t>
            </w:r>
          </w:p>
        </w:tc>
      </w:tr>
      <w:tr w:rsidR="00774431" w:rsidRPr="00406CE9" w14:paraId="4E0589ED" w14:textId="77777777" w:rsidTr="00E962CE">
        <w:trPr>
          <w:trHeight w:val="255"/>
          <w:jc w:val="center"/>
        </w:trPr>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3409D44D"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Light Duty Vehicles</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78225EAB"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53,714</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5996B803"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20</w:t>
            </w:r>
          </w:p>
        </w:tc>
        <w:tc>
          <w:tcPr>
            <w:tcW w:w="207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061E2887"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107</w:t>
            </w:r>
          </w:p>
        </w:tc>
      </w:tr>
      <w:tr w:rsidR="00774431" w:rsidRPr="00406CE9" w14:paraId="2E500AE7" w14:textId="77777777" w:rsidTr="00E962CE">
        <w:trPr>
          <w:trHeight w:val="255"/>
          <w:jc w:val="center"/>
        </w:trPr>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45891C7E"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Buses</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3816EDFB"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212</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62B498B6"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350</w:t>
            </w:r>
          </w:p>
        </w:tc>
        <w:tc>
          <w:tcPr>
            <w:tcW w:w="207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455378DA"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7</w:t>
            </w:r>
          </w:p>
        </w:tc>
      </w:tr>
      <w:tr w:rsidR="00774431" w:rsidRPr="00406CE9" w14:paraId="2751F2B9" w14:textId="77777777" w:rsidTr="00E962CE">
        <w:trPr>
          <w:trHeight w:val="255"/>
          <w:jc w:val="center"/>
        </w:trPr>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4FBF133D"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Trucks</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7051E466"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49</w:t>
            </w:r>
          </w:p>
        </w:tc>
        <w:tc>
          <w:tcPr>
            <w:tcW w:w="2070" w:type="dxa"/>
            <w:tcBorders>
              <w:top w:val="single" w:sz="6" w:space="0" w:color="CCCCCC"/>
              <w:left w:val="single" w:sz="6" w:space="0" w:color="CCCCCC"/>
              <w:bottom w:val="single" w:sz="6" w:space="0" w:color="CCCCCC"/>
              <w:right w:val="single" w:sz="6" w:space="0" w:color="CCCCCC"/>
            </w:tcBorders>
            <w:shd w:val="clear" w:color="auto" w:fill="auto"/>
            <w:tcMar>
              <w:top w:w="0" w:type="dxa"/>
              <w:left w:w="40" w:type="dxa"/>
              <w:bottom w:w="0" w:type="dxa"/>
              <w:right w:w="40" w:type="dxa"/>
            </w:tcMar>
            <w:vAlign w:val="bottom"/>
          </w:tcPr>
          <w:p w14:paraId="10B403B6"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sz w:val="24"/>
                <w:szCs w:val="24"/>
              </w:rPr>
              <w:t>600</w:t>
            </w:r>
          </w:p>
        </w:tc>
        <w:tc>
          <w:tcPr>
            <w:tcW w:w="207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4FF0AE5" w14:textId="77777777" w:rsidR="00774431" w:rsidRPr="00406CE9" w:rsidRDefault="00774431" w:rsidP="000B5BFC">
            <w:pPr>
              <w:pStyle w:val="Normal1"/>
              <w:widowControl w:val="0"/>
              <w:spacing w:line="360" w:lineRule="auto"/>
              <w:jc w:val="center"/>
              <w:rPr>
                <w:rFonts w:ascii="Times New Roman" w:hAnsi="Times New Roman" w:cs="Times New Roman"/>
                <w:sz w:val="24"/>
                <w:szCs w:val="24"/>
              </w:rPr>
            </w:pPr>
            <w:r w:rsidRPr="00406CE9">
              <w:rPr>
                <w:rFonts w:ascii="Times New Roman" w:hAnsi="Times New Roman" w:cs="Times New Roman"/>
                <w:b/>
                <w:sz w:val="24"/>
                <w:szCs w:val="24"/>
              </w:rPr>
              <w:t>3</w:t>
            </w:r>
          </w:p>
        </w:tc>
      </w:tr>
    </w:tbl>
    <w:p w14:paraId="6C84D24E" w14:textId="77777777" w:rsidR="00774431" w:rsidRDefault="00774431" w:rsidP="000B5BFC">
      <w:pPr>
        <w:pStyle w:val="Normal1"/>
        <w:spacing w:line="360" w:lineRule="auto"/>
        <w:rPr>
          <w:rFonts w:ascii="Times New Roman" w:hAnsi="Times New Roman" w:cs="Times New Roman"/>
          <w:sz w:val="24"/>
          <w:szCs w:val="24"/>
        </w:rPr>
      </w:pPr>
    </w:p>
    <w:p w14:paraId="4C490ACA" w14:textId="77777777" w:rsidR="00774431" w:rsidRDefault="00774431" w:rsidP="000B5BFC">
      <w:pPr>
        <w:spacing w:after="160" w:line="360" w:lineRule="auto"/>
        <w:ind w:firstLine="0"/>
      </w:pPr>
      <w:r>
        <w:br w:type="page"/>
      </w:r>
    </w:p>
    <w:p w14:paraId="1377BB12" w14:textId="3E24BAD0" w:rsidR="00774431" w:rsidRPr="006014E2" w:rsidRDefault="00774431" w:rsidP="0071243E">
      <w:pPr>
        <w:spacing w:line="360" w:lineRule="auto"/>
        <w:rPr>
          <w:sz w:val="22"/>
        </w:rPr>
      </w:pPr>
      <w:r w:rsidRPr="006014E2">
        <w:rPr>
          <w:sz w:val="22"/>
        </w:rPr>
        <w:lastRenderedPageBreak/>
        <w:t>Now, given the 2020 power capacity demands we cross reference year by year.</w:t>
      </w:r>
    </w:p>
    <w:tbl>
      <w:tblPr>
        <w:tblW w:w="9353" w:type="dxa"/>
        <w:jc w:val="center"/>
        <w:tblBorders>
          <w:top w:val="nil"/>
          <w:left w:val="nil"/>
          <w:bottom w:val="nil"/>
          <w:right w:val="nil"/>
          <w:insideH w:val="nil"/>
          <w:insideV w:val="nil"/>
        </w:tblBorders>
        <w:tblLayout w:type="fixed"/>
        <w:tblLook w:val="0600" w:firstRow="0" w:lastRow="0" w:firstColumn="0" w:lastColumn="0" w:noHBand="1" w:noVBand="1"/>
      </w:tblPr>
      <w:tblGrid>
        <w:gridCol w:w="1065"/>
        <w:gridCol w:w="780"/>
        <w:gridCol w:w="750"/>
        <w:gridCol w:w="750"/>
        <w:gridCol w:w="751"/>
        <w:gridCol w:w="751"/>
        <w:gridCol w:w="751"/>
        <w:gridCol w:w="751"/>
        <w:gridCol w:w="751"/>
        <w:gridCol w:w="751"/>
        <w:gridCol w:w="751"/>
        <w:gridCol w:w="751"/>
      </w:tblGrid>
      <w:tr w:rsidR="00774431" w:rsidRPr="00406CE9" w14:paraId="20D31348" w14:textId="77777777" w:rsidTr="00E962CE">
        <w:trPr>
          <w:trHeight w:val="255"/>
          <w:jc w:val="center"/>
        </w:trPr>
        <w:tc>
          <w:tcPr>
            <w:tcW w:w="1065" w:type="dxa"/>
            <w:tcBorders>
              <w:top w:val="single" w:sz="6" w:space="0" w:color="CCCCCC"/>
              <w:left w:val="single" w:sz="6" w:space="0" w:color="CCCCCC"/>
              <w:bottom w:val="single" w:sz="6" w:space="0" w:color="CCCCCC"/>
              <w:right w:val="single" w:sz="6" w:space="0" w:color="CCCCCC"/>
            </w:tcBorders>
            <w:shd w:val="clear" w:color="auto" w:fill="63AAFE"/>
            <w:tcMar>
              <w:top w:w="0" w:type="dxa"/>
              <w:left w:w="40" w:type="dxa"/>
              <w:bottom w:w="0" w:type="dxa"/>
              <w:right w:w="40" w:type="dxa"/>
            </w:tcMar>
            <w:vAlign w:val="bottom"/>
          </w:tcPr>
          <w:p w14:paraId="7350674B" w14:textId="77777777" w:rsidR="00774431" w:rsidRPr="009F387E" w:rsidRDefault="00774431" w:rsidP="000B5BFC">
            <w:pPr>
              <w:pStyle w:val="Normal1"/>
              <w:widowControl w:val="0"/>
              <w:spacing w:line="360" w:lineRule="auto"/>
              <w:rPr>
                <w:rFonts w:ascii="Times New Roman" w:hAnsi="Times New Roman" w:cs="Times New Roman"/>
                <w:sz w:val="18"/>
                <w:szCs w:val="18"/>
              </w:rPr>
            </w:pPr>
            <w:r w:rsidRPr="009F387E">
              <w:rPr>
                <w:rFonts w:ascii="Times New Roman" w:hAnsi="Times New Roman" w:cs="Times New Roman"/>
                <w:b/>
                <w:sz w:val="18"/>
                <w:szCs w:val="18"/>
              </w:rPr>
              <w:t>DEMAND</w:t>
            </w:r>
          </w:p>
        </w:tc>
        <w:tc>
          <w:tcPr>
            <w:tcW w:w="78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6E97AC91"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4BC42E7C"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403835F8"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477B4CA6"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6038692D"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6F27BA43"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62219127"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3CCA65E7"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3BB41580"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06A9AD64"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366D794B"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r>
      <w:tr w:rsidR="00774431" w:rsidRPr="00406CE9" w14:paraId="41BFA94A" w14:textId="77777777" w:rsidTr="00E962CE">
        <w:trPr>
          <w:trHeight w:val="255"/>
          <w:jc w:val="center"/>
        </w:trPr>
        <w:tc>
          <w:tcPr>
            <w:tcW w:w="106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C976D3F"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80" w:type="dxa"/>
            <w:tcBorders>
              <w:top w:val="single" w:sz="6" w:space="0" w:color="CCCCCC"/>
              <w:left w:val="single" w:sz="6" w:space="0" w:color="CCCCCC"/>
              <w:bottom w:val="single" w:sz="6" w:space="0" w:color="CCCCCC"/>
              <w:right w:val="single" w:sz="6" w:space="0" w:color="CCCCCC"/>
            </w:tcBorders>
            <w:shd w:val="clear" w:color="auto" w:fill="FFFF00"/>
            <w:tcMar>
              <w:top w:w="0" w:type="dxa"/>
              <w:left w:w="40" w:type="dxa"/>
              <w:bottom w:w="0" w:type="dxa"/>
              <w:right w:w="40" w:type="dxa"/>
            </w:tcMar>
            <w:vAlign w:val="bottom"/>
          </w:tcPr>
          <w:p w14:paraId="3846FDA7"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2020</w:t>
            </w:r>
          </w:p>
        </w:tc>
        <w:tc>
          <w:tcPr>
            <w:tcW w:w="750" w:type="dxa"/>
            <w:tcBorders>
              <w:top w:val="single" w:sz="6" w:space="0" w:color="CCCCCC"/>
              <w:left w:val="single" w:sz="6" w:space="0" w:color="CCCCCC"/>
              <w:bottom w:val="single" w:sz="6" w:space="0" w:color="CCCCCC"/>
              <w:right w:val="single" w:sz="6" w:space="0" w:color="CCCCCC"/>
            </w:tcBorders>
            <w:shd w:val="clear" w:color="auto" w:fill="FFFF00"/>
            <w:tcMar>
              <w:top w:w="0" w:type="dxa"/>
              <w:left w:w="40" w:type="dxa"/>
              <w:bottom w:w="0" w:type="dxa"/>
              <w:right w:w="40" w:type="dxa"/>
            </w:tcMar>
            <w:vAlign w:val="bottom"/>
          </w:tcPr>
          <w:p w14:paraId="167DBB80"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2021</w:t>
            </w:r>
          </w:p>
        </w:tc>
        <w:tc>
          <w:tcPr>
            <w:tcW w:w="750" w:type="dxa"/>
            <w:tcBorders>
              <w:top w:val="single" w:sz="6" w:space="0" w:color="CCCCCC"/>
              <w:left w:val="single" w:sz="6" w:space="0" w:color="CCCCCC"/>
              <w:bottom w:val="single" w:sz="6" w:space="0" w:color="CCCCCC"/>
              <w:right w:val="single" w:sz="6" w:space="0" w:color="CCCCCC"/>
            </w:tcBorders>
            <w:shd w:val="clear" w:color="auto" w:fill="FFFF00"/>
            <w:tcMar>
              <w:top w:w="0" w:type="dxa"/>
              <w:left w:w="40" w:type="dxa"/>
              <w:bottom w:w="0" w:type="dxa"/>
              <w:right w:w="40" w:type="dxa"/>
            </w:tcMar>
            <w:vAlign w:val="bottom"/>
          </w:tcPr>
          <w:p w14:paraId="708ECA14"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2022</w:t>
            </w:r>
          </w:p>
        </w:tc>
        <w:tc>
          <w:tcPr>
            <w:tcW w:w="750" w:type="dxa"/>
            <w:tcBorders>
              <w:top w:val="single" w:sz="6" w:space="0" w:color="CCCCCC"/>
              <w:left w:val="single" w:sz="6" w:space="0" w:color="CCCCCC"/>
              <w:bottom w:val="single" w:sz="6" w:space="0" w:color="CCCCCC"/>
              <w:right w:val="single" w:sz="6" w:space="0" w:color="CCCCCC"/>
            </w:tcBorders>
            <w:shd w:val="clear" w:color="auto" w:fill="FFFF00"/>
            <w:tcMar>
              <w:top w:w="0" w:type="dxa"/>
              <w:left w:w="40" w:type="dxa"/>
              <w:bottom w:w="0" w:type="dxa"/>
              <w:right w:w="40" w:type="dxa"/>
            </w:tcMar>
            <w:vAlign w:val="bottom"/>
          </w:tcPr>
          <w:p w14:paraId="30EB6464"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2023</w:t>
            </w:r>
          </w:p>
        </w:tc>
        <w:tc>
          <w:tcPr>
            <w:tcW w:w="750" w:type="dxa"/>
            <w:tcBorders>
              <w:top w:val="single" w:sz="6" w:space="0" w:color="CCCCCC"/>
              <w:left w:val="single" w:sz="6" w:space="0" w:color="CCCCCC"/>
              <w:bottom w:val="single" w:sz="6" w:space="0" w:color="CCCCCC"/>
              <w:right w:val="single" w:sz="6" w:space="0" w:color="CCCCCC"/>
            </w:tcBorders>
            <w:shd w:val="clear" w:color="auto" w:fill="FFFF00"/>
            <w:tcMar>
              <w:top w:w="0" w:type="dxa"/>
              <w:left w:w="40" w:type="dxa"/>
              <w:bottom w:w="0" w:type="dxa"/>
              <w:right w:w="40" w:type="dxa"/>
            </w:tcMar>
            <w:vAlign w:val="bottom"/>
          </w:tcPr>
          <w:p w14:paraId="5177255F"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2024</w:t>
            </w:r>
          </w:p>
        </w:tc>
        <w:tc>
          <w:tcPr>
            <w:tcW w:w="750" w:type="dxa"/>
            <w:tcBorders>
              <w:top w:val="single" w:sz="6" w:space="0" w:color="CCCCCC"/>
              <w:left w:val="single" w:sz="6" w:space="0" w:color="CCCCCC"/>
              <w:bottom w:val="single" w:sz="6" w:space="0" w:color="CCCCCC"/>
              <w:right w:val="single" w:sz="6" w:space="0" w:color="CCCCCC"/>
            </w:tcBorders>
            <w:shd w:val="clear" w:color="auto" w:fill="FFFF00"/>
            <w:tcMar>
              <w:top w:w="0" w:type="dxa"/>
              <w:left w:w="40" w:type="dxa"/>
              <w:bottom w:w="0" w:type="dxa"/>
              <w:right w:w="40" w:type="dxa"/>
            </w:tcMar>
            <w:vAlign w:val="bottom"/>
          </w:tcPr>
          <w:p w14:paraId="62E18D91"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2025</w:t>
            </w:r>
          </w:p>
        </w:tc>
        <w:tc>
          <w:tcPr>
            <w:tcW w:w="750" w:type="dxa"/>
            <w:tcBorders>
              <w:top w:val="single" w:sz="6" w:space="0" w:color="CCCCCC"/>
              <w:left w:val="single" w:sz="6" w:space="0" w:color="CCCCCC"/>
              <w:bottom w:val="single" w:sz="6" w:space="0" w:color="CCCCCC"/>
              <w:right w:val="single" w:sz="6" w:space="0" w:color="CCCCCC"/>
            </w:tcBorders>
            <w:shd w:val="clear" w:color="auto" w:fill="FFFF00"/>
            <w:tcMar>
              <w:top w:w="0" w:type="dxa"/>
              <w:left w:w="40" w:type="dxa"/>
              <w:bottom w:w="0" w:type="dxa"/>
              <w:right w:w="40" w:type="dxa"/>
            </w:tcMar>
            <w:vAlign w:val="bottom"/>
          </w:tcPr>
          <w:p w14:paraId="0200EEA3"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2026</w:t>
            </w:r>
          </w:p>
        </w:tc>
        <w:tc>
          <w:tcPr>
            <w:tcW w:w="750" w:type="dxa"/>
            <w:tcBorders>
              <w:top w:val="single" w:sz="6" w:space="0" w:color="CCCCCC"/>
              <w:left w:val="single" w:sz="6" w:space="0" w:color="CCCCCC"/>
              <w:bottom w:val="single" w:sz="6" w:space="0" w:color="CCCCCC"/>
              <w:right w:val="single" w:sz="6" w:space="0" w:color="CCCCCC"/>
            </w:tcBorders>
            <w:shd w:val="clear" w:color="auto" w:fill="FFFF00"/>
            <w:tcMar>
              <w:top w:w="0" w:type="dxa"/>
              <w:left w:w="40" w:type="dxa"/>
              <w:bottom w:w="0" w:type="dxa"/>
              <w:right w:w="40" w:type="dxa"/>
            </w:tcMar>
            <w:vAlign w:val="bottom"/>
          </w:tcPr>
          <w:p w14:paraId="78CF9976"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2027</w:t>
            </w:r>
          </w:p>
        </w:tc>
        <w:tc>
          <w:tcPr>
            <w:tcW w:w="750" w:type="dxa"/>
            <w:tcBorders>
              <w:top w:val="single" w:sz="6" w:space="0" w:color="CCCCCC"/>
              <w:left w:val="single" w:sz="6" w:space="0" w:color="CCCCCC"/>
              <w:bottom w:val="single" w:sz="6" w:space="0" w:color="CCCCCC"/>
              <w:right w:val="single" w:sz="6" w:space="0" w:color="CCCCCC"/>
            </w:tcBorders>
            <w:shd w:val="clear" w:color="auto" w:fill="FFFF00"/>
            <w:tcMar>
              <w:top w:w="0" w:type="dxa"/>
              <w:left w:w="40" w:type="dxa"/>
              <w:bottom w:w="0" w:type="dxa"/>
              <w:right w:w="40" w:type="dxa"/>
            </w:tcMar>
            <w:vAlign w:val="bottom"/>
          </w:tcPr>
          <w:p w14:paraId="4F3F3130"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2028</w:t>
            </w:r>
          </w:p>
        </w:tc>
        <w:tc>
          <w:tcPr>
            <w:tcW w:w="750" w:type="dxa"/>
            <w:tcBorders>
              <w:top w:val="single" w:sz="6" w:space="0" w:color="CCCCCC"/>
              <w:left w:val="single" w:sz="6" w:space="0" w:color="CCCCCC"/>
              <w:bottom w:val="single" w:sz="6" w:space="0" w:color="CCCCCC"/>
              <w:right w:val="single" w:sz="6" w:space="0" w:color="CCCCCC"/>
            </w:tcBorders>
            <w:shd w:val="clear" w:color="auto" w:fill="FFFF00"/>
            <w:tcMar>
              <w:top w:w="0" w:type="dxa"/>
              <w:left w:w="40" w:type="dxa"/>
              <w:bottom w:w="0" w:type="dxa"/>
              <w:right w:w="40" w:type="dxa"/>
            </w:tcMar>
            <w:vAlign w:val="bottom"/>
          </w:tcPr>
          <w:p w14:paraId="464EEFCE"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2029</w:t>
            </w:r>
          </w:p>
        </w:tc>
        <w:tc>
          <w:tcPr>
            <w:tcW w:w="750" w:type="dxa"/>
            <w:tcBorders>
              <w:top w:val="single" w:sz="6" w:space="0" w:color="CCCCCC"/>
              <w:left w:val="single" w:sz="6" w:space="0" w:color="CCCCCC"/>
              <w:bottom w:val="single" w:sz="6" w:space="0" w:color="CCCCCC"/>
              <w:right w:val="single" w:sz="6" w:space="0" w:color="CCCCCC"/>
            </w:tcBorders>
            <w:shd w:val="clear" w:color="auto" w:fill="FFFF00"/>
            <w:tcMar>
              <w:top w:w="0" w:type="dxa"/>
              <w:left w:w="40" w:type="dxa"/>
              <w:bottom w:w="0" w:type="dxa"/>
              <w:right w:w="40" w:type="dxa"/>
            </w:tcMar>
            <w:vAlign w:val="bottom"/>
          </w:tcPr>
          <w:p w14:paraId="5D5284DB"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2030</w:t>
            </w:r>
          </w:p>
        </w:tc>
      </w:tr>
      <w:tr w:rsidR="00774431" w:rsidRPr="00406CE9" w14:paraId="13214A49" w14:textId="77777777" w:rsidTr="00E962CE">
        <w:trPr>
          <w:trHeight w:val="255"/>
          <w:jc w:val="center"/>
        </w:trPr>
        <w:tc>
          <w:tcPr>
            <w:tcW w:w="1065" w:type="dxa"/>
            <w:tcBorders>
              <w:top w:val="single" w:sz="6" w:space="0" w:color="CCCCCC"/>
              <w:left w:val="single" w:sz="6" w:space="0" w:color="CCCCCC"/>
              <w:bottom w:val="single" w:sz="6" w:space="0" w:color="CCCCCC"/>
              <w:right w:val="single" w:sz="6" w:space="0" w:color="CCCCCC"/>
            </w:tcBorders>
            <w:shd w:val="clear" w:color="auto" w:fill="C6D9F0"/>
            <w:tcMar>
              <w:top w:w="0" w:type="dxa"/>
              <w:left w:w="40" w:type="dxa"/>
              <w:bottom w:w="0" w:type="dxa"/>
              <w:right w:w="40" w:type="dxa"/>
            </w:tcMar>
            <w:vAlign w:val="bottom"/>
          </w:tcPr>
          <w:p w14:paraId="70CE4CA7" w14:textId="77777777" w:rsidR="00774431" w:rsidRPr="009F387E" w:rsidRDefault="00774431" w:rsidP="006014E2">
            <w:pPr>
              <w:pStyle w:val="Normal1"/>
              <w:widowControl w:val="0"/>
              <w:spacing w:line="240" w:lineRule="auto"/>
              <w:jc w:val="center"/>
              <w:rPr>
                <w:rFonts w:ascii="Times New Roman" w:hAnsi="Times New Roman" w:cs="Times New Roman"/>
                <w:sz w:val="18"/>
                <w:szCs w:val="18"/>
              </w:rPr>
            </w:pPr>
            <w:r w:rsidRPr="009F387E">
              <w:rPr>
                <w:rFonts w:ascii="Times New Roman" w:hAnsi="Times New Roman" w:cs="Times New Roman"/>
                <w:b/>
                <w:sz w:val="18"/>
                <w:szCs w:val="18"/>
              </w:rPr>
              <w:t>Scenario: IEA NPS</w:t>
            </w:r>
          </w:p>
        </w:tc>
        <w:tc>
          <w:tcPr>
            <w:tcW w:w="78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355F9B87"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2FDE636F"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0199678E"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752657F9"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B09DDCC"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248EC788"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14897FE1"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79FB9B8C"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448B4EA2"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2F547199"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596BEC4"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r>
      <w:tr w:rsidR="00774431" w:rsidRPr="00406CE9" w14:paraId="724FA5A8" w14:textId="77777777" w:rsidTr="00E962CE">
        <w:trPr>
          <w:trHeight w:val="330"/>
          <w:jc w:val="center"/>
        </w:trPr>
        <w:tc>
          <w:tcPr>
            <w:tcW w:w="106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7F2B8744"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8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43F1371C"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17DC0D4F"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6FF744E5"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7C1B040B"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337707C4"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7871C816"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4015E4AF"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22F2EE9C"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CB892C3"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2FE3369B"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3AB2A423"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r>
      <w:tr w:rsidR="00774431" w:rsidRPr="00406CE9" w14:paraId="5EDCEA45" w14:textId="77777777" w:rsidTr="00E962CE">
        <w:trPr>
          <w:trHeight w:val="255"/>
          <w:jc w:val="center"/>
        </w:trPr>
        <w:tc>
          <w:tcPr>
            <w:tcW w:w="106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74932127"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sz w:val="18"/>
                <w:szCs w:val="18"/>
              </w:rPr>
              <w:t>Light Duty Vehicles</w:t>
            </w:r>
          </w:p>
        </w:tc>
        <w:tc>
          <w:tcPr>
            <w:tcW w:w="78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4B6BD093"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95</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022D778A"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121</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254F9E55"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151</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A79FB5E"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191</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34AD49D9"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243</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6F6D7AE"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310</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6BD23D8"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393</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51151C90"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499</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31F5AD56"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632</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39077ABC"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801</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EFC4481"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1,014</w:t>
            </w:r>
          </w:p>
        </w:tc>
      </w:tr>
      <w:tr w:rsidR="00774431" w:rsidRPr="00406CE9" w14:paraId="5231D9F3" w14:textId="77777777" w:rsidTr="00E962CE">
        <w:trPr>
          <w:trHeight w:val="255"/>
          <w:jc w:val="center"/>
        </w:trPr>
        <w:tc>
          <w:tcPr>
            <w:tcW w:w="106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C143800"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sz w:val="18"/>
                <w:szCs w:val="18"/>
              </w:rPr>
              <w:t>Buses</w:t>
            </w:r>
          </w:p>
        </w:tc>
        <w:tc>
          <w:tcPr>
            <w:tcW w:w="78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0EB5372A"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5911ED98"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4</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1FD4C7EC"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8</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41066B32"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13</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2E4B3B6D"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20</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17338B68"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28</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2F77E136"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38</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25079296"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50</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2E8F4049"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63</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48A20869"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78</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0B298076"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94</w:t>
            </w:r>
          </w:p>
        </w:tc>
      </w:tr>
      <w:tr w:rsidR="00774431" w:rsidRPr="00406CE9" w14:paraId="10D759BA" w14:textId="77777777" w:rsidTr="00E962CE">
        <w:trPr>
          <w:trHeight w:val="255"/>
          <w:jc w:val="center"/>
        </w:trPr>
        <w:tc>
          <w:tcPr>
            <w:tcW w:w="106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D832A20"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sz w:val="18"/>
                <w:szCs w:val="18"/>
              </w:rPr>
              <w:t>Trucks</w:t>
            </w:r>
          </w:p>
        </w:tc>
        <w:tc>
          <w:tcPr>
            <w:tcW w:w="78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0BF3E838"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4</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2720509C"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12</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1DC14737"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25</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1AD5DAF4"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42</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193D918B"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63</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A053F3C"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89</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657D469"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120</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527CA466"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157</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12BBB83F"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198</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4697FE89"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245</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500CA9B5"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297</w:t>
            </w:r>
          </w:p>
        </w:tc>
      </w:tr>
      <w:tr w:rsidR="00774431" w:rsidRPr="00406CE9" w14:paraId="53CB8136" w14:textId="77777777" w:rsidTr="00E962CE">
        <w:trPr>
          <w:trHeight w:val="255"/>
          <w:jc w:val="center"/>
        </w:trPr>
        <w:tc>
          <w:tcPr>
            <w:tcW w:w="1065" w:type="dxa"/>
            <w:tcBorders>
              <w:top w:val="single" w:sz="6" w:space="0" w:color="CCCCCC"/>
              <w:left w:val="single" w:sz="6" w:space="0" w:color="CCCCCC"/>
              <w:bottom w:val="single" w:sz="6" w:space="0" w:color="CCCCCC"/>
              <w:right w:val="single" w:sz="6" w:space="0" w:color="CCCCCC"/>
            </w:tcBorders>
            <w:shd w:val="clear" w:color="auto" w:fill="C6D9F0"/>
            <w:tcMar>
              <w:top w:w="0" w:type="dxa"/>
              <w:left w:w="40" w:type="dxa"/>
              <w:bottom w:w="0" w:type="dxa"/>
              <w:right w:w="40" w:type="dxa"/>
            </w:tcMar>
            <w:vAlign w:val="bottom"/>
          </w:tcPr>
          <w:p w14:paraId="3099E74C" w14:textId="77777777" w:rsidR="00774431" w:rsidRPr="009F387E" w:rsidRDefault="00774431" w:rsidP="006014E2">
            <w:pPr>
              <w:pStyle w:val="Normal1"/>
              <w:widowControl w:val="0"/>
              <w:spacing w:line="240" w:lineRule="auto"/>
              <w:jc w:val="center"/>
              <w:rPr>
                <w:rFonts w:ascii="Times New Roman" w:hAnsi="Times New Roman" w:cs="Times New Roman"/>
                <w:sz w:val="18"/>
                <w:szCs w:val="18"/>
              </w:rPr>
            </w:pPr>
            <w:r w:rsidRPr="009F387E">
              <w:rPr>
                <w:rFonts w:ascii="Times New Roman" w:hAnsi="Times New Roman" w:cs="Times New Roman"/>
                <w:b/>
                <w:sz w:val="18"/>
                <w:szCs w:val="18"/>
              </w:rPr>
              <w:t>Scenario: BNEF</w:t>
            </w:r>
          </w:p>
        </w:tc>
        <w:tc>
          <w:tcPr>
            <w:tcW w:w="78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1B4B2754"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2D307764"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376101CF"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1F8F2ACF"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269FB0C"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46D0EFDF"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88F2928"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072AD9FF"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11F9C5C9"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362561B3"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321D3E9"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r>
      <w:tr w:rsidR="00774431" w:rsidRPr="00406CE9" w14:paraId="4CE9EC0D" w14:textId="77777777" w:rsidTr="00E962CE">
        <w:trPr>
          <w:trHeight w:val="330"/>
          <w:jc w:val="center"/>
        </w:trPr>
        <w:tc>
          <w:tcPr>
            <w:tcW w:w="106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4128E037"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8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82E7186"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08C60FD4"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3159EBF1"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61BD51AB"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36F2F426"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218D2648"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3F024EC8"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6951217"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2FE3E87A"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55A6E48"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09459175"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r>
      <w:tr w:rsidR="00774431" w:rsidRPr="00406CE9" w14:paraId="426DECBC" w14:textId="77777777" w:rsidTr="00E962CE">
        <w:trPr>
          <w:trHeight w:val="255"/>
          <w:jc w:val="center"/>
        </w:trPr>
        <w:tc>
          <w:tcPr>
            <w:tcW w:w="106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4511918E"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sz w:val="18"/>
                <w:szCs w:val="18"/>
              </w:rPr>
              <w:t>Light Duty Vehicles</w:t>
            </w:r>
          </w:p>
        </w:tc>
        <w:tc>
          <w:tcPr>
            <w:tcW w:w="78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4E09BE77"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111</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6DCB8D0"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165</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3CAAFEBF"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236</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06FBB08B"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353</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00B07F18"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524</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0E0870D9"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758</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4DDDFFD"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1,068</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EE6EA39"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1,480</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BB4984C"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2,015</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5A4384BC"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2,713</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B47F424"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3,605</w:t>
            </w:r>
          </w:p>
        </w:tc>
      </w:tr>
      <w:tr w:rsidR="00774431" w:rsidRPr="00406CE9" w14:paraId="5995455B" w14:textId="77777777" w:rsidTr="00E962CE">
        <w:trPr>
          <w:trHeight w:val="255"/>
          <w:jc w:val="center"/>
        </w:trPr>
        <w:tc>
          <w:tcPr>
            <w:tcW w:w="106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0E1FB241"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sz w:val="18"/>
                <w:szCs w:val="18"/>
              </w:rPr>
              <w:t>Buses</w:t>
            </w:r>
          </w:p>
        </w:tc>
        <w:tc>
          <w:tcPr>
            <w:tcW w:w="78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10625CD"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7</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13E52089"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23</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581DF35F"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47</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100E67EB"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79</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13B56523"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120</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30F59D1F"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170</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59998AF2"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229</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2745A33"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298</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4B55321"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377</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B431BE3"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466</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0891B9E5"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565</w:t>
            </w:r>
          </w:p>
        </w:tc>
      </w:tr>
      <w:tr w:rsidR="00774431" w:rsidRPr="00406CE9" w14:paraId="50F9839B" w14:textId="77777777" w:rsidTr="00E962CE">
        <w:trPr>
          <w:trHeight w:val="255"/>
          <w:jc w:val="center"/>
        </w:trPr>
        <w:tc>
          <w:tcPr>
            <w:tcW w:w="106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4E92929E"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sz w:val="18"/>
                <w:szCs w:val="18"/>
              </w:rPr>
              <w:t>Trucks</w:t>
            </w:r>
          </w:p>
        </w:tc>
        <w:tc>
          <w:tcPr>
            <w:tcW w:w="78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80F9A14"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3</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3996D392"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9</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A3F6DDD"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18</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1E66B1B8"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31</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4BCB20A"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47</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36070D70"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67</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479B596E"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90</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2DC29F56"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117</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1E677FEF"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149</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03A3B790"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183</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3AC5CA95"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223</w:t>
            </w:r>
          </w:p>
        </w:tc>
      </w:tr>
      <w:tr w:rsidR="00774431" w:rsidRPr="00406CE9" w14:paraId="7EDF2B9B" w14:textId="77777777" w:rsidTr="00E962CE">
        <w:trPr>
          <w:trHeight w:val="465"/>
          <w:jc w:val="center"/>
        </w:trPr>
        <w:tc>
          <w:tcPr>
            <w:tcW w:w="1065" w:type="dxa"/>
            <w:tcBorders>
              <w:top w:val="single" w:sz="6" w:space="0" w:color="CCCCCC"/>
              <w:left w:val="single" w:sz="6" w:space="0" w:color="CCCCCC"/>
              <w:bottom w:val="single" w:sz="6" w:space="0" w:color="CCCCCC"/>
              <w:right w:val="single" w:sz="6" w:space="0" w:color="CCCCCC"/>
            </w:tcBorders>
            <w:shd w:val="clear" w:color="auto" w:fill="C6D9F0"/>
            <w:tcMar>
              <w:top w:w="0" w:type="dxa"/>
              <w:left w:w="40" w:type="dxa"/>
              <w:bottom w:w="0" w:type="dxa"/>
              <w:right w:w="40" w:type="dxa"/>
            </w:tcMar>
            <w:vAlign w:val="bottom"/>
          </w:tcPr>
          <w:p w14:paraId="0F3AA41C" w14:textId="77777777" w:rsidR="00774431" w:rsidRPr="009F387E" w:rsidRDefault="00774431" w:rsidP="006014E2">
            <w:pPr>
              <w:pStyle w:val="Normal1"/>
              <w:widowControl w:val="0"/>
              <w:spacing w:line="240" w:lineRule="auto"/>
              <w:jc w:val="center"/>
              <w:rPr>
                <w:rFonts w:ascii="Times New Roman" w:hAnsi="Times New Roman" w:cs="Times New Roman"/>
                <w:sz w:val="18"/>
                <w:szCs w:val="18"/>
              </w:rPr>
            </w:pPr>
            <w:r w:rsidRPr="009F387E">
              <w:rPr>
                <w:rFonts w:ascii="Times New Roman" w:hAnsi="Times New Roman" w:cs="Times New Roman"/>
                <w:b/>
                <w:sz w:val="18"/>
                <w:szCs w:val="18"/>
              </w:rPr>
              <w:t>Scenario: SUV Analogue</w:t>
            </w:r>
          </w:p>
        </w:tc>
        <w:tc>
          <w:tcPr>
            <w:tcW w:w="78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7B66EA2"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0CBF19FE"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1A54D049"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42C73E09"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70A3BDFA"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4BC1070"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4DCF72D3"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2A74F633"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6415CB6E"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332A310D"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74A87D63"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r>
      <w:tr w:rsidR="00774431" w:rsidRPr="00406CE9" w14:paraId="52933DB0" w14:textId="77777777" w:rsidTr="00E962CE">
        <w:trPr>
          <w:trHeight w:val="330"/>
          <w:jc w:val="center"/>
        </w:trPr>
        <w:tc>
          <w:tcPr>
            <w:tcW w:w="106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298E832" w14:textId="77777777" w:rsidR="00774431" w:rsidRPr="009F387E" w:rsidRDefault="00774431" w:rsidP="000B5BFC">
            <w:pPr>
              <w:pStyle w:val="Normal1"/>
              <w:widowControl w:val="0"/>
              <w:spacing w:line="360" w:lineRule="auto"/>
              <w:rPr>
                <w:rFonts w:ascii="Times New Roman" w:hAnsi="Times New Roman" w:cs="Times New Roman"/>
                <w:sz w:val="18"/>
                <w:szCs w:val="18"/>
              </w:rPr>
            </w:pPr>
          </w:p>
        </w:tc>
        <w:tc>
          <w:tcPr>
            <w:tcW w:w="78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4F10AEFD"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4E15FE2B"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3CC4A4CB"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EF2CC2C"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238F9851"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56D31738"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7B2E973B"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456CB51C"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766CC49E"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45BFCC3F"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c>
          <w:tcPr>
            <w:tcW w:w="750"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6A0B679F" w14:textId="77777777" w:rsidR="00774431" w:rsidRPr="009F387E" w:rsidRDefault="00774431" w:rsidP="000B5BFC">
            <w:pPr>
              <w:pStyle w:val="Normal1"/>
              <w:widowControl w:val="0"/>
              <w:spacing w:line="360" w:lineRule="auto"/>
              <w:jc w:val="center"/>
              <w:rPr>
                <w:rFonts w:ascii="Times New Roman" w:hAnsi="Times New Roman" w:cs="Times New Roman"/>
                <w:sz w:val="16"/>
                <w:szCs w:val="16"/>
              </w:rPr>
            </w:pPr>
            <w:r w:rsidRPr="009F387E">
              <w:rPr>
                <w:rFonts w:ascii="Times New Roman" w:hAnsi="Times New Roman" w:cs="Times New Roman"/>
                <w:b/>
                <w:sz w:val="16"/>
                <w:szCs w:val="16"/>
              </w:rPr>
              <w:t>Total Capacity (MW)</w:t>
            </w:r>
          </w:p>
        </w:tc>
      </w:tr>
      <w:tr w:rsidR="00774431" w:rsidRPr="00406CE9" w14:paraId="4DE1CC43" w14:textId="77777777" w:rsidTr="00E962CE">
        <w:trPr>
          <w:trHeight w:val="255"/>
          <w:jc w:val="center"/>
        </w:trPr>
        <w:tc>
          <w:tcPr>
            <w:tcW w:w="106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75B27D99"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sz w:val="18"/>
                <w:szCs w:val="18"/>
              </w:rPr>
              <w:t>Light Duty Vehicles</w:t>
            </w:r>
          </w:p>
        </w:tc>
        <w:tc>
          <w:tcPr>
            <w:tcW w:w="78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5B894FAA"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107</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3DC21AFA"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175</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5A91CA13"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307</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26023244"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569</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3D4F1BBE"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1,085</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1EE814FA"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2,104</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48798333"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3,139</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8AB2732"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4,191</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590BAA0A"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5,260</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2F872BA8"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6,347</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FA2A6B1"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7,451</w:t>
            </w:r>
          </w:p>
        </w:tc>
      </w:tr>
      <w:tr w:rsidR="00774431" w:rsidRPr="00406CE9" w14:paraId="3760F82E" w14:textId="77777777" w:rsidTr="00E962CE">
        <w:trPr>
          <w:trHeight w:val="255"/>
          <w:jc w:val="center"/>
        </w:trPr>
        <w:tc>
          <w:tcPr>
            <w:tcW w:w="106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6A65F8D5"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sz w:val="18"/>
                <w:szCs w:val="18"/>
              </w:rPr>
              <w:t>Buses</w:t>
            </w:r>
          </w:p>
        </w:tc>
        <w:tc>
          <w:tcPr>
            <w:tcW w:w="78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508030E"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7</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F6A1DB4"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23</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250278A1"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47</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ADA843D"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79</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5C100A80"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120</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E6FB188"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170</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4DFA90DD"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229</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20943BD7"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298</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1C85A81"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377</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2E44F7EE"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466</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26E8430C"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565</w:t>
            </w:r>
          </w:p>
        </w:tc>
      </w:tr>
      <w:tr w:rsidR="00774431" w:rsidRPr="00406CE9" w14:paraId="74125FAF" w14:textId="77777777" w:rsidTr="00E962CE">
        <w:trPr>
          <w:trHeight w:val="255"/>
          <w:jc w:val="center"/>
        </w:trPr>
        <w:tc>
          <w:tcPr>
            <w:tcW w:w="106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vAlign w:val="bottom"/>
          </w:tcPr>
          <w:p w14:paraId="1E1DC7DE"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sz w:val="18"/>
                <w:szCs w:val="18"/>
              </w:rPr>
              <w:t>Trucks</w:t>
            </w:r>
          </w:p>
        </w:tc>
        <w:tc>
          <w:tcPr>
            <w:tcW w:w="78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7894A3D"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3</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8F20802"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9</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282A2CB0"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18</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5012E5B"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31</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495C51C5"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47</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5B9BE04"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67</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71BB9C48"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90</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456767AC"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117</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2B011285"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149</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63303468"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183</w:t>
            </w:r>
          </w:p>
        </w:tc>
        <w:tc>
          <w:tcPr>
            <w:tcW w:w="750" w:type="dxa"/>
            <w:tcBorders>
              <w:top w:val="single" w:sz="6" w:space="0" w:color="CCCCCC"/>
              <w:left w:val="single" w:sz="6" w:space="0" w:color="CCCCCC"/>
              <w:bottom w:val="single" w:sz="6" w:space="0" w:color="CCCCCC"/>
              <w:right w:val="single" w:sz="6" w:space="0" w:color="CCCCCC"/>
            </w:tcBorders>
            <w:shd w:val="clear" w:color="auto" w:fill="D0FED6"/>
            <w:tcMar>
              <w:top w:w="0" w:type="dxa"/>
              <w:left w:w="40" w:type="dxa"/>
              <w:bottom w:w="0" w:type="dxa"/>
              <w:right w:w="40" w:type="dxa"/>
            </w:tcMar>
            <w:vAlign w:val="bottom"/>
          </w:tcPr>
          <w:p w14:paraId="4B576D8C" w14:textId="77777777" w:rsidR="00774431" w:rsidRPr="009F387E" w:rsidRDefault="00774431" w:rsidP="000B5BFC">
            <w:pPr>
              <w:pStyle w:val="Normal1"/>
              <w:widowControl w:val="0"/>
              <w:spacing w:line="360" w:lineRule="auto"/>
              <w:jc w:val="center"/>
              <w:rPr>
                <w:rFonts w:ascii="Times New Roman" w:hAnsi="Times New Roman" w:cs="Times New Roman"/>
                <w:sz w:val="18"/>
                <w:szCs w:val="18"/>
              </w:rPr>
            </w:pPr>
            <w:r w:rsidRPr="009F387E">
              <w:rPr>
                <w:rFonts w:ascii="Times New Roman" w:hAnsi="Times New Roman" w:cs="Times New Roman"/>
                <w:b/>
                <w:sz w:val="18"/>
                <w:szCs w:val="18"/>
              </w:rPr>
              <w:t>223</w:t>
            </w:r>
          </w:p>
        </w:tc>
      </w:tr>
    </w:tbl>
    <w:p w14:paraId="2A3576B1" w14:textId="77777777" w:rsidR="006014E2" w:rsidRDefault="006014E2" w:rsidP="006014E2">
      <w:pPr>
        <w:spacing w:line="360" w:lineRule="auto"/>
        <w:ind w:firstLine="0"/>
        <w:jc w:val="both"/>
        <w:rPr>
          <w:sz w:val="22"/>
        </w:rPr>
      </w:pPr>
    </w:p>
    <w:p w14:paraId="2F710603" w14:textId="5F6D40C0" w:rsidR="00C016BA" w:rsidRDefault="00774431" w:rsidP="006014E2">
      <w:pPr>
        <w:spacing w:line="360" w:lineRule="auto"/>
        <w:jc w:val="both"/>
        <w:rPr>
          <w:sz w:val="22"/>
        </w:rPr>
      </w:pPr>
      <w:r w:rsidRPr="002C7CD3">
        <w:rPr>
          <w:sz w:val="22"/>
        </w:rPr>
        <w:t>When cross referencing the vehicle adoption and growth rates with the amount of power needed per vehicle</w:t>
      </w:r>
      <w:r w:rsidRPr="002C7CD3">
        <w:rPr>
          <w:sz w:val="22"/>
          <w:vertAlign w:val="superscript"/>
        </w:rPr>
        <w:footnoteReference w:id="44"/>
      </w:r>
      <w:r w:rsidRPr="002C7CD3">
        <w:rPr>
          <w:sz w:val="22"/>
        </w:rPr>
        <w:t xml:space="preserve"> we can see the capacity requirements needed to sustain the grid. </w:t>
      </w:r>
      <w:r w:rsidR="00C016BA">
        <w:rPr>
          <w:sz w:val="22"/>
        </w:rPr>
        <w:t xml:space="preserve">Analyzing </w:t>
      </w:r>
      <w:r w:rsidRPr="002C7CD3">
        <w:rPr>
          <w:sz w:val="22"/>
        </w:rPr>
        <w:t xml:space="preserve"> year</w:t>
      </w:r>
      <w:r w:rsidR="00717B1C">
        <w:rPr>
          <w:sz w:val="22"/>
        </w:rPr>
        <w:t>-</w:t>
      </w:r>
      <w:r w:rsidRPr="002C7CD3">
        <w:rPr>
          <w:sz w:val="22"/>
        </w:rPr>
        <w:t>over</w:t>
      </w:r>
      <w:r w:rsidR="00717B1C">
        <w:rPr>
          <w:sz w:val="22"/>
        </w:rPr>
        <w:t>-</w:t>
      </w:r>
      <w:r w:rsidRPr="002C7CD3">
        <w:rPr>
          <w:sz w:val="22"/>
        </w:rPr>
        <w:t xml:space="preserve">year </w:t>
      </w:r>
      <w:r w:rsidR="00C016BA">
        <w:rPr>
          <w:sz w:val="22"/>
        </w:rPr>
        <w:t xml:space="preserve">EV </w:t>
      </w:r>
      <w:r w:rsidRPr="002C7CD3">
        <w:rPr>
          <w:sz w:val="22"/>
        </w:rPr>
        <w:t xml:space="preserve"> growth with technolog</w:t>
      </w:r>
      <w:r w:rsidR="00C016BA">
        <w:rPr>
          <w:sz w:val="22"/>
        </w:rPr>
        <w:t xml:space="preserve">ies </w:t>
      </w:r>
      <w:r w:rsidRPr="002C7CD3">
        <w:rPr>
          <w:sz w:val="22"/>
        </w:rPr>
        <w:t>such as smart charging</w:t>
      </w:r>
      <w:r w:rsidR="00C016BA">
        <w:rPr>
          <w:sz w:val="22"/>
        </w:rPr>
        <w:t xml:space="preserve"> and demand management, </w:t>
      </w:r>
      <w:r w:rsidRPr="002C7CD3">
        <w:rPr>
          <w:sz w:val="22"/>
        </w:rPr>
        <w:t xml:space="preserve"> Texas is in very good shape to support the additional loads placed on the grid by EVs. </w:t>
      </w:r>
      <w:r w:rsidR="00C016BA">
        <w:rPr>
          <w:sz w:val="22"/>
        </w:rPr>
        <w:t>W</w:t>
      </w:r>
      <w:r w:rsidRPr="002C7CD3">
        <w:rPr>
          <w:sz w:val="22"/>
        </w:rPr>
        <w:t>ith smart</w:t>
      </w:r>
      <w:r w:rsidR="00C016BA">
        <w:rPr>
          <w:sz w:val="22"/>
        </w:rPr>
        <w:t xml:space="preserve"> charging and smart </w:t>
      </w:r>
      <w:r w:rsidRPr="002C7CD3">
        <w:rPr>
          <w:sz w:val="22"/>
        </w:rPr>
        <w:t>planning</w:t>
      </w:r>
      <w:r w:rsidR="00C016BA">
        <w:rPr>
          <w:sz w:val="22"/>
        </w:rPr>
        <w:t xml:space="preserve">, coordinated with data and </w:t>
      </w:r>
      <w:r w:rsidRPr="002C7CD3">
        <w:rPr>
          <w:sz w:val="22"/>
        </w:rPr>
        <w:t>action</w:t>
      </w:r>
      <w:r w:rsidR="00C016BA">
        <w:rPr>
          <w:sz w:val="22"/>
        </w:rPr>
        <w:t>s</w:t>
      </w:r>
      <w:r w:rsidRPr="002C7CD3">
        <w:rPr>
          <w:sz w:val="22"/>
        </w:rPr>
        <w:t xml:space="preserve"> by our State’s utility companies and policy makers, we can look </w:t>
      </w:r>
      <w:r w:rsidR="00AF551C">
        <w:rPr>
          <w:sz w:val="22"/>
        </w:rPr>
        <w:t>to</w:t>
      </w:r>
      <w:r w:rsidRPr="002C7CD3">
        <w:rPr>
          <w:sz w:val="22"/>
        </w:rPr>
        <w:t xml:space="preserve"> a bright future as EVs emerge in our everyday lives. </w:t>
      </w:r>
    </w:p>
    <w:p w14:paraId="383733F4" w14:textId="77777777" w:rsidR="00C016BA" w:rsidRDefault="00C016BA" w:rsidP="006014E2">
      <w:pPr>
        <w:spacing w:line="360" w:lineRule="auto"/>
        <w:jc w:val="both"/>
        <w:rPr>
          <w:sz w:val="22"/>
        </w:rPr>
      </w:pPr>
    </w:p>
    <w:p w14:paraId="7C9C1525" w14:textId="77777777" w:rsidR="000E0060" w:rsidRDefault="000E0060" w:rsidP="006014E2">
      <w:pPr>
        <w:spacing w:line="360" w:lineRule="auto"/>
        <w:jc w:val="both"/>
        <w:rPr>
          <w:sz w:val="22"/>
        </w:rPr>
      </w:pPr>
    </w:p>
    <w:p w14:paraId="252F28AD" w14:textId="0AB78710" w:rsidR="00717B1C" w:rsidRPr="00135471" w:rsidRDefault="00717B1C" w:rsidP="0046549D">
      <w:pPr>
        <w:spacing w:line="360" w:lineRule="auto"/>
        <w:ind w:firstLine="0"/>
        <w:jc w:val="both"/>
        <w:rPr>
          <w:b/>
          <w:bCs/>
          <w:sz w:val="22"/>
        </w:rPr>
      </w:pPr>
      <w:bookmarkStart w:id="3" w:name="_Hlk31614753"/>
      <w:r w:rsidRPr="00717B1C">
        <w:rPr>
          <w:b/>
          <w:bCs/>
          <w:sz w:val="22"/>
        </w:rPr>
        <w:lastRenderedPageBreak/>
        <w:t>CONCLUSIONS</w:t>
      </w:r>
    </w:p>
    <w:p w14:paraId="4326F8F0" w14:textId="7813A85E" w:rsidR="00C016BA" w:rsidRDefault="00C016BA" w:rsidP="00C016BA">
      <w:pPr>
        <w:spacing w:line="360" w:lineRule="auto"/>
        <w:jc w:val="both"/>
        <w:rPr>
          <w:rFonts w:cs="Times New Roman"/>
          <w:sz w:val="22"/>
        </w:rPr>
      </w:pPr>
      <w:r w:rsidRPr="002C7CD3">
        <w:rPr>
          <w:rFonts w:cs="Times New Roman"/>
          <w:sz w:val="22"/>
        </w:rPr>
        <w:t xml:space="preserve">Electric Vehicles (EVs) are about to roll into Texas in a big wave. </w:t>
      </w:r>
      <w:r>
        <w:rPr>
          <w:rFonts w:cs="Times New Roman"/>
          <w:sz w:val="22"/>
        </w:rPr>
        <w:t>What can the Commission</w:t>
      </w:r>
      <w:r w:rsidRPr="002C7CD3">
        <w:rPr>
          <w:rFonts w:cs="Times New Roman"/>
          <w:sz w:val="22"/>
        </w:rPr>
        <w:t xml:space="preserve"> </w:t>
      </w:r>
      <w:r>
        <w:rPr>
          <w:rFonts w:cs="Times New Roman"/>
          <w:sz w:val="22"/>
        </w:rPr>
        <w:t xml:space="preserve">do to assure they are not </w:t>
      </w:r>
      <w:r w:rsidRPr="002C7CD3">
        <w:rPr>
          <w:rFonts w:cs="Times New Roman"/>
          <w:sz w:val="22"/>
        </w:rPr>
        <w:t xml:space="preserve">inundated </w:t>
      </w:r>
      <w:r>
        <w:rPr>
          <w:rFonts w:cs="Times New Roman"/>
          <w:sz w:val="22"/>
        </w:rPr>
        <w:t xml:space="preserve">but </w:t>
      </w:r>
      <w:r w:rsidRPr="002C7CD3">
        <w:rPr>
          <w:rFonts w:cs="Times New Roman"/>
          <w:sz w:val="22"/>
        </w:rPr>
        <w:t>surfing</w:t>
      </w:r>
      <w:r>
        <w:rPr>
          <w:rFonts w:cs="Times New Roman"/>
          <w:sz w:val="22"/>
        </w:rPr>
        <w:t xml:space="preserve"> the EV wave?</w:t>
      </w:r>
      <w:r w:rsidRPr="002C7CD3">
        <w:rPr>
          <w:rFonts w:cs="Times New Roman"/>
          <w:sz w:val="22"/>
        </w:rPr>
        <w:t xml:space="preserve"> </w:t>
      </w:r>
    </w:p>
    <w:p w14:paraId="741CF6BF" w14:textId="16C290BC" w:rsidR="00D71FFF" w:rsidRPr="00135471" w:rsidRDefault="003C4E88" w:rsidP="00135471">
      <w:pPr>
        <w:pStyle w:val="ListParagraph"/>
        <w:numPr>
          <w:ilvl w:val="0"/>
          <w:numId w:val="17"/>
        </w:numPr>
        <w:spacing w:line="360" w:lineRule="auto"/>
        <w:jc w:val="both"/>
        <w:rPr>
          <w:rFonts w:cs="Times New Roman"/>
          <w:sz w:val="22"/>
        </w:rPr>
      </w:pPr>
      <w:r w:rsidRPr="00135471">
        <w:rPr>
          <w:rFonts w:cs="Times New Roman"/>
          <w:sz w:val="22"/>
        </w:rPr>
        <w:t>Chose anticipated growth</w:t>
      </w:r>
      <w:r w:rsidR="000E0060" w:rsidRPr="00135471">
        <w:rPr>
          <w:rFonts w:cs="Times New Roman"/>
          <w:sz w:val="22"/>
        </w:rPr>
        <w:t xml:space="preserve"> </w:t>
      </w:r>
      <w:r w:rsidR="00D71FFF" w:rsidRPr="00135471">
        <w:rPr>
          <w:rFonts w:cs="Times New Roman"/>
          <w:sz w:val="22"/>
        </w:rPr>
        <w:t xml:space="preserve">projections </w:t>
      </w:r>
      <w:r w:rsidRPr="00135471">
        <w:rPr>
          <w:rFonts w:cs="Times New Roman"/>
          <w:sz w:val="22"/>
        </w:rPr>
        <w:t xml:space="preserve">of low, medium and high cases and analyze the impacts of the growth of </w:t>
      </w:r>
      <w:r w:rsidR="00D71FFF" w:rsidRPr="00135471">
        <w:rPr>
          <w:rFonts w:cs="Times New Roman"/>
          <w:sz w:val="22"/>
        </w:rPr>
        <w:t>E</w:t>
      </w:r>
      <w:r w:rsidRPr="00135471">
        <w:rPr>
          <w:rFonts w:cs="Times New Roman"/>
          <w:sz w:val="22"/>
        </w:rPr>
        <w:t xml:space="preserve">Vs on the grid. </w:t>
      </w:r>
    </w:p>
    <w:p w14:paraId="1399C13E" w14:textId="1FA40D2B" w:rsidR="003C4E88" w:rsidRPr="00135471" w:rsidRDefault="003C4E88" w:rsidP="00135471">
      <w:pPr>
        <w:pStyle w:val="ListParagraph"/>
        <w:numPr>
          <w:ilvl w:val="0"/>
          <w:numId w:val="17"/>
        </w:numPr>
        <w:spacing w:line="360" w:lineRule="auto"/>
        <w:jc w:val="both"/>
        <w:rPr>
          <w:rFonts w:cs="Times New Roman"/>
          <w:sz w:val="22"/>
        </w:rPr>
      </w:pPr>
      <w:r w:rsidRPr="00135471">
        <w:rPr>
          <w:rFonts w:cs="Times New Roman"/>
          <w:sz w:val="22"/>
        </w:rPr>
        <w:t>Make suggestions for needed policy changes for the 2021 session</w:t>
      </w:r>
      <w:r w:rsidR="000E0060" w:rsidRPr="00135471">
        <w:rPr>
          <w:rFonts w:cs="Times New Roman"/>
          <w:sz w:val="22"/>
        </w:rPr>
        <w:t>.</w:t>
      </w:r>
    </w:p>
    <w:p w14:paraId="1F877089" w14:textId="3A7477E3" w:rsidR="003C4E88" w:rsidRPr="00135471" w:rsidRDefault="0046549D" w:rsidP="00135471">
      <w:pPr>
        <w:pStyle w:val="ListParagraph"/>
        <w:numPr>
          <w:ilvl w:val="0"/>
          <w:numId w:val="17"/>
        </w:numPr>
        <w:spacing w:line="360" w:lineRule="auto"/>
        <w:jc w:val="both"/>
        <w:rPr>
          <w:rFonts w:cs="Times New Roman"/>
          <w:sz w:val="22"/>
        </w:rPr>
      </w:pPr>
      <w:r w:rsidRPr="00D922C0">
        <w:rPr>
          <w:rFonts w:cs="Times New Roman"/>
          <w:sz w:val="22"/>
        </w:rPr>
        <w:t>Continue to monitor and review the development of this technology and lessons learned in other jurisdictions after cost parity is achieved between 2022</w:t>
      </w:r>
      <w:r w:rsidR="007C1D9A">
        <w:rPr>
          <w:rFonts w:cs="Times New Roman"/>
          <w:sz w:val="22"/>
        </w:rPr>
        <w:t xml:space="preserve"> and 20</w:t>
      </w:r>
      <w:r w:rsidRPr="00D922C0">
        <w:rPr>
          <w:rFonts w:cs="Times New Roman"/>
          <w:sz w:val="22"/>
        </w:rPr>
        <w:t>23, and the flush of the 200 plus anticipated new EVs hit the market between now and 2023, and discuss new policies and make recommendations to the legislature in 2024.</w:t>
      </w:r>
    </w:p>
    <w:p w14:paraId="5F9DAF2C" w14:textId="78C854E5" w:rsidR="003C4E88" w:rsidRPr="00135471" w:rsidRDefault="003C4E88" w:rsidP="00135471">
      <w:pPr>
        <w:pStyle w:val="ListParagraph"/>
        <w:numPr>
          <w:ilvl w:val="0"/>
          <w:numId w:val="17"/>
        </w:numPr>
        <w:spacing w:line="360" w:lineRule="auto"/>
        <w:jc w:val="both"/>
        <w:rPr>
          <w:rFonts w:cs="Times New Roman"/>
          <w:sz w:val="22"/>
        </w:rPr>
      </w:pPr>
      <w:r w:rsidRPr="00135471">
        <w:rPr>
          <w:rFonts w:cs="Times New Roman"/>
          <w:sz w:val="22"/>
        </w:rPr>
        <w:t>Plan another review of the growth in EV sales and technological changes</w:t>
      </w:r>
      <w:r w:rsidR="00D71FFF" w:rsidRPr="00135471">
        <w:rPr>
          <w:rFonts w:cs="Times New Roman"/>
          <w:sz w:val="22"/>
        </w:rPr>
        <w:t xml:space="preserve"> as the market matures and trends become clearer</w:t>
      </w:r>
      <w:r w:rsidRPr="00135471">
        <w:rPr>
          <w:rFonts w:cs="Times New Roman"/>
          <w:sz w:val="22"/>
        </w:rPr>
        <w:t xml:space="preserve"> late</w:t>
      </w:r>
      <w:r w:rsidR="00D71FFF" w:rsidRPr="00135471">
        <w:rPr>
          <w:rFonts w:cs="Times New Roman"/>
          <w:sz w:val="22"/>
        </w:rPr>
        <w:t>r</w:t>
      </w:r>
      <w:r w:rsidRPr="00135471">
        <w:rPr>
          <w:rFonts w:cs="Times New Roman"/>
          <w:sz w:val="22"/>
        </w:rPr>
        <w:t xml:space="preserve"> in the decade – perhaps in 202</w:t>
      </w:r>
      <w:r w:rsidR="00D71FFF" w:rsidRPr="00135471">
        <w:rPr>
          <w:rFonts w:cs="Times New Roman"/>
          <w:sz w:val="22"/>
        </w:rPr>
        <w:t>8</w:t>
      </w:r>
      <w:r w:rsidR="00BF6C85" w:rsidRPr="00135471">
        <w:rPr>
          <w:rFonts w:cs="Times New Roman"/>
          <w:sz w:val="22"/>
        </w:rPr>
        <w:t>.</w:t>
      </w:r>
    </w:p>
    <w:p w14:paraId="64C11006" w14:textId="0869E548" w:rsidR="003C4E88" w:rsidRPr="00135471" w:rsidRDefault="003C4E88" w:rsidP="00135471">
      <w:pPr>
        <w:pStyle w:val="ListParagraph"/>
        <w:numPr>
          <w:ilvl w:val="0"/>
          <w:numId w:val="17"/>
        </w:numPr>
        <w:spacing w:line="360" w:lineRule="auto"/>
        <w:jc w:val="both"/>
        <w:rPr>
          <w:rFonts w:cs="Times New Roman"/>
          <w:sz w:val="22"/>
        </w:rPr>
      </w:pPr>
      <w:r w:rsidRPr="00135471">
        <w:rPr>
          <w:rFonts w:cs="Times New Roman"/>
          <w:sz w:val="22"/>
        </w:rPr>
        <w:t>Discuss how to implement proven solutions to shift peak EV charging onto off</w:t>
      </w:r>
      <w:r w:rsidR="00135471">
        <w:rPr>
          <w:rFonts w:cs="Times New Roman"/>
          <w:sz w:val="22"/>
        </w:rPr>
        <w:t>-</w:t>
      </w:r>
      <w:r w:rsidRPr="00135471">
        <w:rPr>
          <w:rFonts w:cs="Times New Roman"/>
          <w:sz w:val="22"/>
        </w:rPr>
        <w:t xml:space="preserve">peak times </w:t>
      </w:r>
      <w:r w:rsidR="005C18D7" w:rsidRPr="00135471">
        <w:rPr>
          <w:rFonts w:cs="Times New Roman"/>
          <w:sz w:val="22"/>
        </w:rPr>
        <w:t>through the use of</w:t>
      </w:r>
      <w:r w:rsidRPr="00135471">
        <w:rPr>
          <w:rFonts w:cs="Times New Roman"/>
          <w:sz w:val="22"/>
        </w:rPr>
        <w:t xml:space="preserve"> demand management and time</w:t>
      </w:r>
      <w:r w:rsidR="007C1D9A">
        <w:rPr>
          <w:rFonts w:cs="Times New Roman"/>
          <w:sz w:val="22"/>
        </w:rPr>
        <w:t>-</w:t>
      </w:r>
      <w:r w:rsidRPr="00135471">
        <w:rPr>
          <w:rFonts w:cs="Times New Roman"/>
          <w:sz w:val="22"/>
        </w:rPr>
        <w:t>of</w:t>
      </w:r>
      <w:r w:rsidR="007C1D9A">
        <w:rPr>
          <w:rFonts w:cs="Times New Roman"/>
          <w:sz w:val="22"/>
        </w:rPr>
        <w:t>-</w:t>
      </w:r>
      <w:r w:rsidRPr="00135471">
        <w:rPr>
          <w:rFonts w:cs="Times New Roman"/>
          <w:sz w:val="22"/>
        </w:rPr>
        <w:t xml:space="preserve">use rate structures. </w:t>
      </w:r>
    </w:p>
    <w:p w14:paraId="32C91759" w14:textId="3A72D52B" w:rsidR="005C18D7" w:rsidRPr="00135471" w:rsidRDefault="005C18D7" w:rsidP="00135471">
      <w:pPr>
        <w:pStyle w:val="ListParagraph"/>
        <w:numPr>
          <w:ilvl w:val="0"/>
          <w:numId w:val="17"/>
        </w:numPr>
        <w:spacing w:line="360" w:lineRule="auto"/>
        <w:jc w:val="both"/>
        <w:rPr>
          <w:rFonts w:cs="Times New Roman"/>
          <w:sz w:val="22"/>
        </w:rPr>
      </w:pPr>
      <w:r w:rsidRPr="00135471">
        <w:rPr>
          <w:rFonts w:cs="Times New Roman"/>
          <w:sz w:val="22"/>
        </w:rPr>
        <w:t xml:space="preserve">Harness the research capabilities of Texas </w:t>
      </w:r>
      <w:r w:rsidR="007C1D9A">
        <w:rPr>
          <w:rFonts w:cs="Times New Roman"/>
          <w:sz w:val="22"/>
        </w:rPr>
        <w:t>u</w:t>
      </w:r>
      <w:r w:rsidRPr="00135471">
        <w:rPr>
          <w:rFonts w:cs="Times New Roman"/>
          <w:sz w:val="22"/>
        </w:rPr>
        <w:t xml:space="preserve">niversities </w:t>
      </w:r>
      <w:r w:rsidR="007C1D9A">
        <w:rPr>
          <w:rFonts w:cs="Times New Roman"/>
          <w:sz w:val="22"/>
        </w:rPr>
        <w:t>into</w:t>
      </w:r>
      <w:r w:rsidRPr="00135471">
        <w:rPr>
          <w:rFonts w:cs="Times New Roman"/>
          <w:sz w:val="22"/>
        </w:rPr>
        <w:t xml:space="preserve"> a scientific advisory panel</w:t>
      </w:r>
      <w:r w:rsidR="00BF6C85" w:rsidRPr="00135471">
        <w:rPr>
          <w:rFonts w:cs="Times New Roman"/>
          <w:sz w:val="22"/>
        </w:rPr>
        <w:t>.</w:t>
      </w:r>
    </w:p>
    <w:p w14:paraId="3F70F302" w14:textId="6285155E" w:rsidR="00135471" w:rsidRPr="0046549D" w:rsidRDefault="005C18D7" w:rsidP="0046549D">
      <w:pPr>
        <w:spacing w:line="360" w:lineRule="auto"/>
        <w:jc w:val="both"/>
        <w:rPr>
          <w:rFonts w:cs="Times New Roman"/>
          <w:sz w:val="22"/>
        </w:rPr>
      </w:pPr>
      <w:r>
        <w:rPr>
          <w:rFonts w:cs="Times New Roman"/>
          <w:sz w:val="22"/>
        </w:rPr>
        <w:t xml:space="preserve"> </w:t>
      </w:r>
      <w:r w:rsidR="00135471">
        <w:rPr>
          <w:rFonts w:cs="Times New Roman"/>
          <w:sz w:val="22"/>
        </w:rPr>
        <w:t xml:space="preserve">Additionally, </w:t>
      </w:r>
      <w:r w:rsidR="0046549D">
        <w:rPr>
          <w:rFonts w:cs="Times New Roman"/>
          <w:sz w:val="22"/>
        </w:rPr>
        <w:t>t</w:t>
      </w:r>
      <w:r w:rsidR="0046549D" w:rsidRPr="00D922C0">
        <w:rPr>
          <w:rFonts w:cs="Times New Roman"/>
          <w:sz w:val="22"/>
        </w:rPr>
        <w:t xml:space="preserve">he Commission should develop a common set of tools and processes for utilities to collect EV charging information and </w:t>
      </w:r>
      <w:r w:rsidR="007C1D9A">
        <w:rPr>
          <w:rFonts w:cs="Times New Roman"/>
          <w:sz w:val="22"/>
        </w:rPr>
        <w:t>u</w:t>
      </w:r>
      <w:r w:rsidR="0046549D" w:rsidRPr="00D922C0">
        <w:rPr>
          <w:rFonts w:cs="Times New Roman"/>
          <w:sz w:val="22"/>
        </w:rPr>
        <w:t xml:space="preserve">tilities should be asked to provide their EV forecasts in terms of energy and peak demand with any projected upgrades attributed to the growth of EV charging load.  Utilities should be asked to analyze and utilize cost-effective alternatives to proposed grid upgrades including demand response, intelligent charging, re-distribution of load across feeders, development of distributed energy resources, and other cost-effective alternative strategies. </w:t>
      </w:r>
    </w:p>
    <w:p w14:paraId="3A7CB759" w14:textId="77777777" w:rsidR="0046549D" w:rsidRDefault="0046549D" w:rsidP="00135471">
      <w:pPr>
        <w:spacing w:line="360" w:lineRule="auto"/>
        <w:jc w:val="both"/>
        <w:rPr>
          <w:rFonts w:cs="Times New Roman"/>
          <w:sz w:val="22"/>
        </w:rPr>
      </w:pPr>
      <w:r w:rsidRPr="00D922C0">
        <w:rPr>
          <w:rFonts w:cs="Times New Roman"/>
          <w:sz w:val="22"/>
        </w:rPr>
        <w:t xml:space="preserve">The Commission and ERCOT should consider ways in which EV technologies may be able to participate in the wholesale market so that ERCOT’s protocols can be amended as necessary to allow EVs to use proven technologies to support reliable operation of the electric grid.  Enabling such participation also has the potential to provide additional revenue that can make these vehicles and their charging stations more affordable – to residential consumers, business customers with fleets of light duty vehicles, large commercial customers with medium and heavy duty electric vehicles, and even governmental entities such as school districts with fleets of electric buses.  The Commission and ERCOT should develop the rules and protocols necessary to enable the aggregation and deployment of these EVs and their charging stations to provide demand response.  </w:t>
      </w:r>
    </w:p>
    <w:p w14:paraId="4248749F" w14:textId="77777777" w:rsidR="00997F97" w:rsidRDefault="000E0060" w:rsidP="00997F97">
      <w:pPr>
        <w:spacing w:line="360" w:lineRule="auto"/>
        <w:jc w:val="both"/>
        <w:rPr>
          <w:sz w:val="22"/>
        </w:rPr>
      </w:pPr>
      <w:r>
        <w:rPr>
          <w:rFonts w:cs="Times New Roman"/>
          <w:sz w:val="22"/>
        </w:rPr>
        <w:t xml:space="preserve">Just as in surfing, the wise regulator will judge the wave as it presents itself and begins to crest and adjust course to always be just ahead of the crest. </w:t>
      </w:r>
    </w:p>
    <w:p w14:paraId="01A62D32" w14:textId="0144AA5D" w:rsidR="0046549D" w:rsidRDefault="000E0060" w:rsidP="00997F97">
      <w:pPr>
        <w:spacing w:line="360" w:lineRule="auto"/>
        <w:jc w:val="both"/>
        <w:rPr>
          <w:sz w:val="22"/>
        </w:rPr>
      </w:pPr>
      <w:r>
        <w:rPr>
          <w:rFonts w:cs="Times New Roman"/>
          <w:sz w:val="22"/>
        </w:rPr>
        <w:t xml:space="preserve">Have fun. </w:t>
      </w:r>
      <w:bookmarkEnd w:id="3"/>
    </w:p>
    <w:p w14:paraId="3843B4F2" w14:textId="100DEF68" w:rsidR="00774431" w:rsidRDefault="00CE4803" w:rsidP="0046549D">
      <w:pPr>
        <w:spacing w:before="240" w:line="360" w:lineRule="auto"/>
        <w:jc w:val="both"/>
        <w:rPr>
          <w:sz w:val="22"/>
        </w:rPr>
      </w:pPr>
      <w:r>
        <w:rPr>
          <w:sz w:val="22"/>
        </w:rPr>
        <w:lastRenderedPageBreak/>
        <w:t>Respectfully submitted,</w:t>
      </w:r>
    </w:p>
    <w:p w14:paraId="0B30816B" w14:textId="3312A5AF" w:rsidR="00CE4803" w:rsidRDefault="004B282F" w:rsidP="0071243E">
      <w:pPr>
        <w:spacing w:line="360" w:lineRule="auto"/>
        <w:jc w:val="both"/>
        <w:rPr>
          <w:sz w:val="22"/>
        </w:rPr>
      </w:pPr>
      <w:r>
        <w:rPr>
          <w:noProof/>
          <w:sz w:val="22"/>
        </w:rPr>
        <w:drawing>
          <wp:inline distT="0" distB="0" distL="0" distR="0" wp14:anchorId="6D6B054F" wp14:editId="161CA66C">
            <wp:extent cx="4262718" cy="748145"/>
            <wp:effectExtent l="0" t="0" r="5080" b="0"/>
            <wp:docPr id="10" name="Picture 10"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mitty Signature Cropped.jpg"/>
                    <pic:cNvPicPr/>
                  </pic:nvPicPr>
                  <pic:blipFill>
                    <a:blip r:embed="rId51">
                      <a:extLst>
                        <a:ext uri="{28A0092B-C50C-407E-A947-70E740481C1C}">
                          <a14:useLocalDpi xmlns:a14="http://schemas.microsoft.com/office/drawing/2010/main" val="0"/>
                        </a:ext>
                      </a:extLst>
                    </a:blip>
                    <a:stretch>
                      <a:fillRect/>
                    </a:stretch>
                  </pic:blipFill>
                  <pic:spPr>
                    <a:xfrm>
                      <a:off x="0" y="0"/>
                      <a:ext cx="4262718" cy="748145"/>
                    </a:xfrm>
                    <a:prstGeom prst="rect">
                      <a:avLst/>
                    </a:prstGeom>
                  </pic:spPr>
                </pic:pic>
              </a:graphicData>
            </a:graphic>
          </wp:inline>
        </w:drawing>
      </w:r>
    </w:p>
    <w:p w14:paraId="11B0529A" w14:textId="6D79C8C9" w:rsidR="00CE4803" w:rsidRDefault="00CE4803" w:rsidP="004B282F">
      <w:pPr>
        <w:spacing w:line="360" w:lineRule="auto"/>
        <w:ind w:left="720" w:firstLine="0"/>
        <w:jc w:val="both"/>
        <w:rPr>
          <w:sz w:val="22"/>
        </w:rPr>
      </w:pPr>
      <w:r>
        <w:rPr>
          <w:sz w:val="22"/>
        </w:rPr>
        <w:t>Tom “Smitty” Smith</w:t>
      </w:r>
    </w:p>
    <w:p w14:paraId="7418B17D" w14:textId="705C269E" w:rsidR="00CE4803" w:rsidRDefault="00CE4803" w:rsidP="0071243E">
      <w:pPr>
        <w:spacing w:line="360" w:lineRule="auto"/>
        <w:jc w:val="both"/>
        <w:rPr>
          <w:sz w:val="22"/>
        </w:rPr>
      </w:pPr>
      <w:r>
        <w:rPr>
          <w:sz w:val="22"/>
        </w:rPr>
        <w:t>Executive Director, TxETRA</w:t>
      </w:r>
    </w:p>
    <w:p w14:paraId="1A426AD2" w14:textId="03110002" w:rsidR="00CE4803" w:rsidRDefault="009361B0" w:rsidP="0071243E">
      <w:pPr>
        <w:spacing w:line="360" w:lineRule="auto"/>
        <w:jc w:val="both"/>
        <w:rPr>
          <w:sz w:val="22"/>
        </w:rPr>
      </w:pPr>
      <w:hyperlink r:id="rId52" w:history="1">
        <w:r w:rsidR="00CE4803" w:rsidRPr="00647890">
          <w:rPr>
            <w:rStyle w:val="Hyperlink"/>
            <w:sz w:val="22"/>
          </w:rPr>
          <w:t>citizen.smitty@gmail.com</w:t>
        </w:r>
      </w:hyperlink>
    </w:p>
    <w:p w14:paraId="12728BAD" w14:textId="3DB5C7EC" w:rsidR="00CE4803" w:rsidRDefault="00CE4803" w:rsidP="0071243E">
      <w:pPr>
        <w:spacing w:line="360" w:lineRule="auto"/>
        <w:jc w:val="both"/>
        <w:rPr>
          <w:sz w:val="22"/>
        </w:rPr>
      </w:pPr>
      <w:r>
        <w:rPr>
          <w:sz w:val="22"/>
        </w:rPr>
        <w:t>605 Carismatic Dr.</w:t>
      </w:r>
    </w:p>
    <w:p w14:paraId="0076CD4C" w14:textId="4858C624" w:rsidR="00CE4803" w:rsidRPr="002C7CD3" w:rsidRDefault="00CE4803" w:rsidP="0071243E">
      <w:pPr>
        <w:spacing w:line="360" w:lineRule="auto"/>
        <w:jc w:val="both"/>
        <w:rPr>
          <w:sz w:val="22"/>
        </w:rPr>
      </w:pPr>
      <w:r>
        <w:rPr>
          <w:sz w:val="22"/>
        </w:rPr>
        <w:t>Austin, Texas 78748</w:t>
      </w:r>
    </w:p>
    <w:sectPr w:rsidR="00CE4803" w:rsidRPr="002C7CD3">
      <w:footerReference w:type="default" r:id="rId53"/>
      <w:endnotePr>
        <w:numFmt w:val="decimal"/>
      </w:endnotePr>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AD42F5" w14:textId="77777777" w:rsidR="00795E64" w:rsidRDefault="00795E64" w:rsidP="00875D70">
      <w:pPr>
        <w:spacing w:line="240" w:lineRule="auto"/>
      </w:pPr>
      <w:r>
        <w:separator/>
      </w:r>
    </w:p>
  </w:endnote>
  <w:endnote w:type="continuationSeparator" w:id="0">
    <w:p w14:paraId="0EFE2168" w14:textId="77777777" w:rsidR="00795E64" w:rsidRDefault="00795E64" w:rsidP="00875D7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LTStd-Roman">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03298052"/>
      <w:docPartObj>
        <w:docPartGallery w:val="Page Numbers (Bottom of Page)"/>
        <w:docPartUnique/>
      </w:docPartObj>
    </w:sdtPr>
    <w:sdtEndPr>
      <w:rPr>
        <w:noProof/>
        <w:sz w:val="22"/>
      </w:rPr>
    </w:sdtEndPr>
    <w:sdtContent>
      <w:p w14:paraId="3B9C6B2E" w14:textId="7B1D953D" w:rsidR="009361B0" w:rsidRPr="00013402" w:rsidRDefault="009361B0">
        <w:pPr>
          <w:pStyle w:val="Footer"/>
          <w:jc w:val="right"/>
          <w:rPr>
            <w:sz w:val="22"/>
          </w:rPr>
        </w:pPr>
        <w:r w:rsidRPr="00013402">
          <w:rPr>
            <w:sz w:val="22"/>
          </w:rPr>
          <w:fldChar w:fldCharType="begin"/>
        </w:r>
        <w:r w:rsidRPr="00013402">
          <w:rPr>
            <w:sz w:val="22"/>
          </w:rPr>
          <w:instrText xml:space="preserve"> PAGE   \* MERGEFORMAT </w:instrText>
        </w:r>
        <w:r w:rsidRPr="00013402">
          <w:rPr>
            <w:sz w:val="22"/>
          </w:rPr>
          <w:fldChar w:fldCharType="separate"/>
        </w:r>
        <w:r w:rsidRPr="00013402">
          <w:rPr>
            <w:noProof/>
            <w:sz w:val="22"/>
          </w:rPr>
          <w:t>2</w:t>
        </w:r>
        <w:r w:rsidRPr="00013402">
          <w:rPr>
            <w:noProof/>
            <w:sz w:val="22"/>
          </w:rPr>
          <w:fldChar w:fldCharType="end"/>
        </w:r>
      </w:p>
    </w:sdtContent>
  </w:sdt>
  <w:p w14:paraId="1333A349" w14:textId="77777777" w:rsidR="009361B0" w:rsidRDefault="009361B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54044B" w14:textId="77777777" w:rsidR="00795E64" w:rsidRDefault="00795E64" w:rsidP="00875D70">
      <w:pPr>
        <w:spacing w:line="240" w:lineRule="auto"/>
      </w:pPr>
      <w:r>
        <w:separator/>
      </w:r>
    </w:p>
  </w:footnote>
  <w:footnote w:type="continuationSeparator" w:id="0">
    <w:p w14:paraId="18CEDE04" w14:textId="77777777" w:rsidR="00795E64" w:rsidRDefault="00795E64" w:rsidP="00875D70">
      <w:pPr>
        <w:spacing w:line="240" w:lineRule="auto"/>
      </w:pPr>
      <w:r>
        <w:continuationSeparator/>
      </w:r>
    </w:p>
  </w:footnote>
  <w:footnote w:id="1">
    <w:p w14:paraId="14E67F30" w14:textId="40E35F53" w:rsidR="009361B0" w:rsidRPr="00D01B06" w:rsidRDefault="009361B0" w:rsidP="00AD764D">
      <w:pPr>
        <w:spacing w:line="240" w:lineRule="auto"/>
        <w:ind w:firstLine="0"/>
        <w:rPr>
          <w:rFonts w:eastAsiaTheme="minorEastAsia"/>
          <w:sz w:val="20"/>
          <w:szCs w:val="20"/>
        </w:rPr>
      </w:pPr>
      <w:r w:rsidRPr="00D01B06">
        <w:rPr>
          <w:rStyle w:val="FootnoteReference"/>
          <w:sz w:val="20"/>
          <w:szCs w:val="20"/>
        </w:rPr>
        <w:footnoteRef/>
      </w:r>
      <w:r w:rsidRPr="00D01B06">
        <w:t xml:space="preserve">  </w:t>
      </w:r>
      <w:r w:rsidRPr="00D01B06">
        <w:rPr>
          <w:rStyle w:val="NoSpacingChar"/>
        </w:rPr>
        <w:t xml:space="preserve">F. Todd Davidson, Dave Tuttle, Joshua D. Rhodes, Kazunori Nagasawa, </w:t>
      </w:r>
      <w:r w:rsidRPr="00D01B06">
        <w:rPr>
          <w:rStyle w:val="NoSpacingChar"/>
          <w:i/>
          <w:iCs/>
        </w:rPr>
        <w:t>Switching to Electric Vehicles Could Save Us Billions but Timing is Everything</w:t>
      </w:r>
      <w:r w:rsidRPr="00D01B06">
        <w:rPr>
          <w:rStyle w:val="NoSpacingChar"/>
        </w:rPr>
        <w:t xml:space="preserve">. </w:t>
      </w:r>
      <w:hyperlink r:id="rId1" w:history="1">
        <w:r w:rsidRPr="00D01B06">
          <w:rPr>
            <w:rStyle w:val="NoSpacingChar"/>
          </w:rPr>
          <w:t>www.theconversation.com</w:t>
        </w:r>
      </w:hyperlink>
      <w:r w:rsidRPr="00D01B06">
        <w:rPr>
          <w:rStyle w:val="NoSpacingChar"/>
        </w:rPr>
        <w:t xml:space="preserve">. </w:t>
      </w:r>
      <w:hyperlink r:id="rId2" w:history="1">
        <w:r w:rsidRPr="00D01B06">
          <w:rPr>
            <w:rStyle w:val="Hyperlink"/>
            <w:rFonts w:cs="Times New Roman"/>
            <w:color w:val="auto"/>
            <w:sz w:val="20"/>
            <w:szCs w:val="20"/>
            <w:u w:val="none"/>
          </w:rPr>
          <w:t>https://theconversation.com/switching-to-electric-vehicles-could-save-the-us-billions-but-timing-is-everything-106227</w:t>
        </w:r>
      </w:hyperlink>
      <w:r w:rsidRPr="00D01B06">
        <w:rPr>
          <w:rStyle w:val="NoSpacingChar"/>
        </w:rPr>
        <w:t xml:space="preserve">.  </w:t>
      </w:r>
    </w:p>
  </w:footnote>
  <w:footnote w:id="2">
    <w:p w14:paraId="7A438AED" w14:textId="5DE1F791" w:rsidR="009361B0" w:rsidRPr="00D01B06" w:rsidRDefault="009361B0" w:rsidP="00AD764D">
      <w:pPr>
        <w:spacing w:line="240" w:lineRule="auto"/>
        <w:ind w:firstLine="0"/>
        <w:rPr>
          <w:rFonts w:cs="Times New Roman"/>
          <w:sz w:val="20"/>
          <w:szCs w:val="20"/>
        </w:rPr>
      </w:pPr>
      <w:r w:rsidRPr="00D01B06">
        <w:rPr>
          <w:rStyle w:val="FootnoteReference"/>
          <w:sz w:val="20"/>
          <w:szCs w:val="20"/>
        </w:rPr>
        <w:footnoteRef/>
      </w:r>
      <w:r w:rsidRPr="00D01B06">
        <w:t xml:space="preserve">  </w:t>
      </w:r>
      <w:r w:rsidRPr="00D01B06">
        <w:rPr>
          <w:rFonts w:cs="Times New Roman"/>
          <w:sz w:val="20"/>
          <w:szCs w:val="20"/>
        </w:rPr>
        <w:t xml:space="preserve">M. J. Bradley &amp; Associates, </w:t>
      </w:r>
      <w:r w:rsidRPr="00D01B06">
        <w:rPr>
          <w:rFonts w:cs="Times New Roman"/>
          <w:i/>
          <w:iCs/>
          <w:sz w:val="20"/>
          <w:szCs w:val="20"/>
        </w:rPr>
        <w:t>Electric Vehicle Cost-Benefit Analysis, Plug-in Electric Vehicle Analysis: Arizona</w:t>
      </w:r>
      <w:r w:rsidRPr="00D01B06">
        <w:rPr>
          <w:rFonts w:cs="Times New Roman"/>
          <w:sz w:val="20"/>
          <w:szCs w:val="20"/>
        </w:rPr>
        <w:t xml:space="preserve">, 2018. </w:t>
      </w:r>
      <w:hyperlink r:id="rId3" w:history="1">
        <w:r w:rsidRPr="00D01B06">
          <w:rPr>
            <w:rStyle w:val="Hyperlink"/>
            <w:rFonts w:cs="Times New Roman"/>
            <w:color w:val="auto"/>
            <w:sz w:val="20"/>
            <w:szCs w:val="20"/>
            <w:u w:val="none"/>
          </w:rPr>
          <w:t>https://mjbradley.com/sites/default/files/AZPEVCBAnalysisFINAL04dec18.pdf</w:t>
        </w:r>
      </w:hyperlink>
      <w:r w:rsidRPr="00D01B06">
        <w:rPr>
          <w:rStyle w:val="Hyperlink"/>
          <w:rFonts w:cs="Times New Roman"/>
          <w:color w:val="auto"/>
          <w:sz w:val="20"/>
          <w:szCs w:val="20"/>
          <w:u w:val="none"/>
        </w:rPr>
        <w:t>.</w:t>
      </w:r>
    </w:p>
  </w:footnote>
  <w:footnote w:id="3">
    <w:p w14:paraId="4414ECC6" w14:textId="53862FBB" w:rsidR="009361B0" w:rsidRPr="00D01B06" w:rsidRDefault="009361B0" w:rsidP="00AD764D">
      <w:pPr>
        <w:pStyle w:val="FootnoteText"/>
        <w:ind w:firstLine="0"/>
      </w:pPr>
      <w:r w:rsidRPr="00D01B06">
        <w:rPr>
          <w:rStyle w:val="FootnoteReference"/>
        </w:rPr>
        <w:footnoteRef/>
      </w:r>
      <w:r w:rsidRPr="00D01B06">
        <w:t xml:space="preserve">  Jason Frost, Melissa Whited, Avi Allison, </w:t>
      </w:r>
      <w:r w:rsidRPr="00D01B06">
        <w:rPr>
          <w:i/>
          <w:iCs/>
        </w:rPr>
        <w:t>Electric Vehicles are Driving Electric Rates Down</w:t>
      </w:r>
      <w:r w:rsidRPr="00D01B06">
        <w:t xml:space="preserve">. </w:t>
      </w:r>
      <w:hyperlink r:id="rId4" w:history="1">
        <w:r w:rsidRPr="00D01B06">
          <w:rPr>
            <w:rStyle w:val="Hyperlink"/>
            <w:color w:val="auto"/>
            <w:u w:val="none"/>
          </w:rPr>
          <w:t>https://www.synapse-energy.com/sites/default/files/EVs-Driving-Rates-Down-8-122.pdf</w:t>
        </w:r>
      </w:hyperlink>
      <w:r w:rsidRPr="00D01B06">
        <w:t>.</w:t>
      </w:r>
    </w:p>
  </w:footnote>
  <w:footnote w:id="4">
    <w:p w14:paraId="7E92AF4C" w14:textId="7800D8B2" w:rsidR="009361B0" w:rsidRDefault="009361B0" w:rsidP="00AD764D">
      <w:pPr>
        <w:pStyle w:val="FootnoteText"/>
        <w:ind w:firstLine="0"/>
      </w:pPr>
      <w:r w:rsidRPr="00D01B06">
        <w:rPr>
          <w:rStyle w:val="FootnoteReference"/>
        </w:rPr>
        <w:footnoteRef/>
      </w:r>
      <w:r w:rsidRPr="00D01B06">
        <w:t xml:space="preserve">  </w:t>
      </w:r>
      <w:r w:rsidRPr="00D01B06">
        <w:rPr>
          <w:rStyle w:val="NoSpacingChar"/>
        </w:rPr>
        <w:t>F. Todd Davidson, Dave Tuttle, Joshua D. Rhodes, Kazunori Nagasawa.</w:t>
      </w:r>
    </w:p>
  </w:footnote>
  <w:footnote w:id="5">
    <w:p w14:paraId="2D45834F" w14:textId="0F290D21" w:rsidR="009361B0" w:rsidRDefault="009361B0" w:rsidP="00E962CE">
      <w:pPr>
        <w:pStyle w:val="FootnoteText"/>
        <w:ind w:firstLine="0"/>
      </w:pPr>
      <w:r>
        <w:rPr>
          <w:rStyle w:val="FootnoteReference"/>
        </w:rPr>
        <w:footnoteRef/>
      </w:r>
      <w:r>
        <w:t xml:space="preserve">  </w:t>
      </w:r>
      <w:r>
        <w:rPr>
          <w:i/>
          <w:iCs/>
          <w:color w:val="333333"/>
        </w:rPr>
        <w:t>Global EV Outlook - 2019</w:t>
      </w:r>
      <w:r>
        <w:rPr>
          <w:color w:val="333333"/>
          <w:shd w:val="clear" w:color="auto" w:fill="FFFFFF"/>
        </w:rPr>
        <w:t>. International Energy Agency, 2019, https://www.iea.org/reports/global-ev-outlook-2019.</w:t>
      </w:r>
    </w:p>
  </w:footnote>
  <w:footnote w:id="6">
    <w:p w14:paraId="3199A308" w14:textId="34E96CA0" w:rsidR="009361B0" w:rsidRDefault="009361B0" w:rsidP="00E962CE">
      <w:pPr>
        <w:pStyle w:val="FootnoteText"/>
        <w:ind w:firstLine="0"/>
      </w:pPr>
      <w:r>
        <w:rPr>
          <w:rStyle w:val="FootnoteReference"/>
        </w:rPr>
        <w:footnoteRef/>
      </w:r>
      <w:r>
        <w:t xml:space="preserve">  </w:t>
      </w:r>
      <w:r>
        <w:rPr>
          <w:i/>
          <w:iCs/>
          <w:color w:val="333333"/>
        </w:rPr>
        <w:t>Electric Vehicle Outlook 2019</w:t>
      </w:r>
      <w:r>
        <w:rPr>
          <w:color w:val="333333"/>
          <w:shd w:val="clear" w:color="auto" w:fill="FFFFFF"/>
        </w:rPr>
        <w:t>. Bloomberg New Energy Finance, 2019, https://about.bnef.com/electric-vehicle-outlook/.</w:t>
      </w:r>
    </w:p>
  </w:footnote>
  <w:footnote w:id="7">
    <w:p w14:paraId="1B9D5176" w14:textId="79F91475" w:rsidR="009361B0" w:rsidRDefault="009361B0" w:rsidP="00E962CE">
      <w:pPr>
        <w:pStyle w:val="FootnoteText"/>
        <w:ind w:firstLine="0"/>
      </w:pPr>
      <w:r>
        <w:rPr>
          <w:rStyle w:val="FootnoteReference"/>
        </w:rPr>
        <w:footnoteRef/>
      </w:r>
      <w:r>
        <w:t xml:space="preserve">  </w:t>
      </w:r>
      <w:r>
        <w:rPr>
          <w:i/>
          <w:iCs/>
          <w:color w:val="333333"/>
        </w:rPr>
        <w:t>Highway Statistics 2017</w:t>
      </w:r>
      <w:r>
        <w:rPr>
          <w:color w:val="333333"/>
          <w:shd w:val="clear" w:color="auto" w:fill="FFFFFF"/>
        </w:rPr>
        <w:t>, Federal Highway Administration, Jan. 2018, www.fhwa.dot.gov/policyinformation/statistics/2017/.</w:t>
      </w:r>
    </w:p>
  </w:footnote>
  <w:footnote w:id="8">
    <w:p w14:paraId="011CD372" w14:textId="6392C0A4" w:rsidR="009361B0" w:rsidRDefault="009361B0" w:rsidP="005C50EC">
      <w:pPr>
        <w:pStyle w:val="FootnoteText"/>
        <w:ind w:firstLine="0"/>
      </w:pPr>
      <w:r>
        <w:rPr>
          <w:rStyle w:val="FootnoteReference"/>
        </w:rPr>
        <w:footnoteRef/>
      </w:r>
      <w:r>
        <w:t xml:space="preserve">  </w:t>
      </w:r>
      <w:r w:rsidRPr="00E962CE">
        <w:rPr>
          <w:i/>
          <w:iCs/>
        </w:rPr>
        <w:t>Ibid</w:t>
      </w:r>
      <w:r>
        <w:t>.</w:t>
      </w:r>
    </w:p>
  </w:footnote>
  <w:footnote w:id="9">
    <w:p w14:paraId="4AA1F69D" w14:textId="0FF54266" w:rsidR="009361B0" w:rsidRDefault="009361B0" w:rsidP="005C50EC">
      <w:pPr>
        <w:pStyle w:val="FootnoteText"/>
        <w:ind w:firstLine="0"/>
      </w:pPr>
      <w:r>
        <w:rPr>
          <w:rStyle w:val="FootnoteReference"/>
        </w:rPr>
        <w:footnoteRef/>
      </w:r>
      <w:r>
        <w:t xml:space="preserve">  </w:t>
      </w:r>
      <w:r>
        <w:rPr>
          <w:i/>
          <w:iCs/>
          <w:color w:val="333333"/>
        </w:rPr>
        <w:t>Estimates of the Total Populations of Counties and Places in Texas for July 1, 2017 and January 1, 2018</w:t>
      </w:r>
      <w:r>
        <w:rPr>
          <w:color w:val="333333"/>
          <w:shd w:val="clear" w:color="auto" w:fill="FFFFFF"/>
        </w:rPr>
        <w:t>, The population Estimates and Projections Program at The Texas Demographic Center, Apr. 2019, demographics.texas.gov/Resources/TPEPP/Estimates/2017/2017_txpopest_cog.pdf.</w:t>
      </w:r>
    </w:p>
  </w:footnote>
  <w:footnote w:id="10">
    <w:p w14:paraId="36D6D963" w14:textId="4F010F55" w:rsidR="009361B0" w:rsidRDefault="009361B0" w:rsidP="005C50EC">
      <w:pPr>
        <w:pStyle w:val="FootnoteText"/>
        <w:ind w:firstLine="0"/>
      </w:pPr>
      <w:r>
        <w:rPr>
          <w:rStyle w:val="FootnoteReference"/>
        </w:rPr>
        <w:footnoteRef/>
      </w:r>
      <w:r>
        <w:t xml:space="preserve">  </w:t>
      </w:r>
      <w:r>
        <w:rPr>
          <w:i/>
          <w:iCs/>
          <w:color w:val="333333"/>
        </w:rPr>
        <w:t>Texas Population Projections 2010 to 2050</w:t>
      </w:r>
      <w:r>
        <w:rPr>
          <w:color w:val="333333"/>
          <w:shd w:val="clear" w:color="auto" w:fill="FFFFFF"/>
        </w:rPr>
        <w:t>, Texas Demographics Center, Jan. 2019, demographics.texas.gov/Resources/publications/2019/20190128_PopProjectionsBrief.pdf.</w:t>
      </w:r>
    </w:p>
  </w:footnote>
  <w:footnote w:id="11">
    <w:p w14:paraId="724E6554" w14:textId="76B60645" w:rsidR="009361B0" w:rsidRDefault="009361B0" w:rsidP="0071243E">
      <w:pPr>
        <w:pStyle w:val="FootnoteText"/>
        <w:ind w:firstLine="0"/>
      </w:pPr>
      <w:r>
        <w:rPr>
          <w:rStyle w:val="FootnoteReference"/>
        </w:rPr>
        <w:footnoteRef/>
      </w:r>
      <w:r>
        <w:t xml:space="preserve">  </w:t>
      </w:r>
      <w:r>
        <w:rPr>
          <w:i/>
          <w:iCs/>
          <w:color w:val="333333"/>
        </w:rPr>
        <w:t>Highway Statistics 2017</w:t>
      </w:r>
      <w:r>
        <w:rPr>
          <w:color w:val="333333"/>
          <w:shd w:val="clear" w:color="auto" w:fill="FFFFFF"/>
        </w:rPr>
        <w:t>, Federal Highway Administration, Jan. 2018, www.fhwa.dot.gov/policyinformation/statistics/2017/.</w:t>
      </w:r>
    </w:p>
  </w:footnote>
  <w:footnote w:id="12">
    <w:p w14:paraId="15A1254F" w14:textId="401B6F77" w:rsidR="009361B0" w:rsidRDefault="009361B0" w:rsidP="0071243E">
      <w:pPr>
        <w:pStyle w:val="FootnoteText"/>
        <w:ind w:firstLine="0"/>
      </w:pPr>
      <w:r>
        <w:rPr>
          <w:rStyle w:val="FootnoteReference"/>
        </w:rPr>
        <w:footnoteRef/>
      </w:r>
      <w:r>
        <w:t xml:space="preserve">  </w:t>
      </w:r>
      <w:r>
        <w:rPr>
          <w:i/>
          <w:iCs/>
          <w:color w:val="333333"/>
        </w:rPr>
        <w:t>Autos Drive Texas Forward</w:t>
      </w:r>
      <w:r>
        <w:rPr>
          <w:color w:val="333333"/>
          <w:shd w:val="clear" w:color="auto" w:fill="FFFFFF"/>
        </w:rPr>
        <w:t>. Auto Alliance, 2019, autoalliance.org/in-your-state/TX/.</w:t>
      </w:r>
    </w:p>
  </w:footnote>
  <w:footnote w:id="13">
    <w:p w14:paraId="5B508DB1" w14:textId="778FFF5E" w:rsidR="009361B0" w:rsidRDefault="009361B0" w:rsidP="0071243E">
      <w:pPr>
        <w:pStyle w:val="FootnoteText"/>
        <w:ind w:firstLine="0"/>
      </w:pPr>
      <w:r>
        <w:rPr>
          <w:rStyle w:val="FootnoteReference"/>
        </w:rPr>
        <w:footnoteRef/>
      </w:r>
      <w:r>
        <w:t xml:space="preserve">  </w:t>
      </w:r>
      <w:r>
        <w:rPr>
          <w:i/>
          <w:iCs/>
          <w:color w:val="333333"/>
        </w:rPr>
        <w:t>Useful Life of Transit Buses and Vans</w:t>
      </w:r>
      <w:r>
        <w:rPr>
          <w:color w:val="333333"/>
          <w:shd w:val="clear" w:color="auto" w:fill="FFFFFF"/>
        </w:rPr>
        <w:t>. U.S. Department of Transportation Federal Transit Administration, 2007, https://www.transitwiki.org/TransitWiki/images/6/64/Useful_Life_of_Buses.pdf.</w:t>
      </w:r>
    </w:p>
  </w:footnote>
  <w:footnote w:id="14">
    <w:p w14:paraId="5CB53A28" w14:textId="6A44C2DD" w:rsidR="009361B0" w:rsidRDefault="009361B0" w:rsidP="00905B3A">
      <w:pPr>
        <w:pStyle w:val="FootnoteText"/>
        <w:ind w:firstLine="0"/>
      </w:pPr>
      <w:r>
        <w:rPr>
          <w:rStyle w:val="FootnoteReference"/>
        </w:rPr>
        <w:footnoteRef/>
      </w:r>
      <w:r>
        <w:t xml:space="preserve">  </w:t>
      </w:r>
      <w:r>
        <w:rPr>
          <w:color w:val="333333"/>
          <w:shd w:val="clear" w:color="auto" w:fill="FFFFFF"/>
        </w:rPr>
        <w:t>Kane, Mark. </w:t>
      </w:r>
      <w:r>
        <w:rPr>
          <w:i/>
          <w:iCs/>
          <w:color w:val="333333"/>
        </w:rPr>
        <w:t>All-Electric Car Energy Consumption (EPA) Compared – May 2019</w:t>
      </w:r>
      <w:r>
        <w:rPr>
          <w:color w:val="333333"/>
          <w:shd w:val="clear" w:color="auto" w:fill="FFFFFF"/>
        </w:rPr>
        <w:t>. InsideEVs, 7 May 2019, insideevs.com/news/348093/energy-consumption-epa-compared-may-2019/.</w:t>
      </w:r>
    </w:p>
  </w:footnote>
  <w:footnote w:id="15">
    <w:p w14:paraId="2F84F7DC" w14:textId="6AF49317" w:rsidR="009361B0" w:rsidRDefault="009361B0" w:rsidP="00905B3A">
      <w:pPr>
        <w:pStyle w:val="FootnoteText"/>
        <w:ind w:firstLine="0"/>
      </w:pPr>
      <w:r>
        <w:rPr>
          <w:rStyle w:val="FootnoteReference"/>
        </w:rPr>
        <w:footnoteRef/>
      </w:r>
      <w:r>
        <w:t xml:space="preserve">  </w:t>
      </w:r>
      <w:r>
        <w:rPr>
          <w:color w:val="333333"/>
          <w:shd w:val="clear" w:color="auto" w:fill="FFFFFF"/>
        </w:rPr>
        <w:t>Eudy, Leslie, et al. </w:t>
      </w:r>
      <w:r>
        <w:rPr>
          <w:i/>
          <w:iCs/>
          <w:color w:val="333333"/>
        </w:rPr>
        <w:t>Foothill Transit Battery Electric Bus Demonstration Results</w:t>
      </w:r>
      <w:r>
        <w:rPr>
          <w:color w:val="333333"/>
          <w:shd w:val="clear" w:color="auto" w:fill="FFFFFF"/>
        </w:rPr>
        <w:t>. National Renewable Energy Laboratory, 2016, https://www.nrel.gov/docs/fy16osti/65274.pdf.</w:t>
      </w:r>
    </w:p>
  </w:footnote>
  <w:footnote w:id="16">
    <w:p w14:paraId="1B2578E8" w14:textId="43BBCE65" w:rsidR="009361B0" w:rsidRDefault="009361B0" w:rsidP="00905B3A">
      <w:pPr>
        <w:pStyle w:val="FootnoteText"/>
        <w:ind w:firstLine="0"/>
      </w:pPr>
      <w:r>
        <w:rPr>
          <w:rStyle w:val="FootnoteReference"/>
        </w:rPr>
        <w:footnoteRef/>
      </w:r>
      <w:r>
        <w:t xml:space="preserve">  </w:t>
      </w:r>
      <w:r>
        <w:rPr>
          <w:i/>
          <w:iCs/>
          <w:color w:val="333333"/>
        </w:rPr>
        <w:t>Annual Vehicle Distance Traveled in Miles and Related Data - 2017</w:t>
      </w:r>
      <w:r>
        <w:rPr>
          <w:color w:val="333333"/>
          <w:shd w:val="clear" w:color="auto" w:fill="FFFFFF"/>
        </w:rPr>
        <w:t>. Federal Highway Administration, 2017, https://www.fhwa.dot.gov/policyinformation/statistics/2017/pdf/vm1.pdf.</w:t>
      </w:r>
    </w:p>
  </w:footnote>
  <w:footnote w:id="17">
    <w:p w14:paraId="632866FD" w14:textId="16E9C80B" w:rsidR="009361B0" w:rsidRDefault="009361B0" w:rsidP="00905B3A">
      <w:pPr>
        <w:pStyle w:val="FootnoteText"/>
        <w:ind w:firstLine="0"/>
      </w:pPr>
      <w:r>
        <w:rPr>
          <w:rStyle w:val="FootnoteReference"/>
        </w:rPr>
        <w:footnoteRef/>
      </w:r>
      <w:r>
        <w:t xml:space="preserve">  </w:t>
      </w:r>
      <w:r>
        <w:rPr>
          <w:i/>
          <w:iCs/>
          <w:color w:val="333333"/>
        </w:rPr>
        <w:t>2018 Long-Term System Assessment for the ERCOT Region</w:t>
      </w:r>
      <w:r>
        <w:rPr>
          <w:color w:val="333333"/>
          <w:shd w:val="clear" w:color="auto" w:fill="FFFFFF"/>
        </w:rPr>
        <w:t>. ERCOT System Planning, 2018, http://www.ercot.com/content/wcm/lists/144927/2018_LTSA_Report.pdf.</w:t>
      </w:r>
    </w:p>
  </w:footnote>
  <w:footnote w:id="18">
    <w:p w14:paraId="321436D1" w14:textId="21AC0F30" w:rsidR="009361B0" w:rsidRDefault="009361B0" w:rsidP="00905B3A">
      <w:pPr>
        <w:pStyle w:val="FootnoteText"/>
        <w:ind w:firstLine="0"/>
      </w:pPr>
      <w:r>
        <w:rPr>
          <w:rStyle w:val="FootnoteReference"/>
        </w:rPr>
        <w:footnoteRef/>
      </w:r>
      <w:r>
        <w:t xml:space="preserve">  </w:t>
      </w:r>
      <w:r>
        <w:rPr>
          <w:color w:val="333333"/>
          <w:shd w:val="clear" w:color="auto" w:fill="FFFFFF"/>
        </w:rPr>
        <w:t>Allison, Avi, and Melissa Whited. “Electric Vehicles Still Not Crashing the Grid.” https://www.synapse-energy.com/sites/default/files/EV-Not-Crashing-Grid-17-025.pdf.</w:t>
      </w:r>
    </w:p>
  </w:footnote>
  <w:footnote w:id="19">
    <w:p w14:paraId="4C87B60F" w14:textId="60CF58F6" w:rsidR="009361B0" w:rsidRDefault="009361B0" w:rsidP="00905B3A">
      <w:pPr>
        <w:pStyle w:val="FootnoteText"/>
        <w:ind w:firstLine="0"/>
      </w:pPr>
      <w:r>
        <w:rPr>
          <w:rStyle w:val="FootnoteReference"/>
        </w:rPr>
        <w:footnoteRef/>
      </w:r>
      <w:r>
        <w:t xml:space="preserve">  </w:t>
      </w:r>
      <w:r>
        <w:rPr>
          <w:i/>
          <w:iCs/>
          <w:color w:val="333333"/>
        </w:rPr>
        <w:t>Charging Ahead: Deriving Value from Electric Vehicles for All Electricity Customer</w:t>
      </w:r>
      <w:r>
        <w:rPr>
          <w:color w:val="333333"/>
          <w:shd w:val="clear" w:color="auto" w:fill="FFFFFF"/>
        </w:rPr>
        <w:t>. Illinois Citizens Utility Board, https://www.citizensutilityboard.org/wp-content/uploads/2019/03/Charging-Ahead-Deriving-Value-from-Electric-Vehicles-for-All-Electricity-Customers-v6-031419.pdf.</w:t>
      </w:r>
    </w:p>
  </w:footnote>
  <w:footnote w:id="20">
    <w:p w14:paraId="3F4CE285" w14:textId="0D94BBDF" w:rsidR="009361B0" w:rsidRDefault="009361B0" w:rsidP="00905B3A">
      <w:pPr>
        <w:pStyle w:val="FootnoteText"/>
        <w:ind w:firstLine="0"/>
      </w:pPr>
      <w:r>
        <w:rPr>
          <w:rStyle w:val="FootnoteReference"/>
        </w:rPr>
        <w:footnoteRef/>
      </w:r>
      <w:r>
        <w:t xml:space="preserve">  </w:t>
      </w:r>
      <w:r>
        <w:rPr>
          <w:i/>
          <w:iCs/>
          <w:color w:val="333333"/>
        </w:rPr>
        <w:t>An Assessment of Level 1 and Level 2 Electric Vehicle Charging Efficiency</w:t>
      </w:r>
      <w:r>
        <w:rPr>
          <w:color w:val="333333"/>
          <w:shd w:val="clear" w:color="auto" w:fill="FFFFFF"/>
        </w:rPr>
        <w:t>. Vermont Energy Investment Corporation Transportation Efficiency Group, 2013, https://www.veic.org/documents/default-source/resources/reports/an-assessment-of-level-1-and-level-2-electric-vehicle-charging-efficiency.pdf.</w:t>
      </w:r>
    </w:p>
  </w:footnote>
  <w:footnote w:id="21">
    <w:p w14:paraId="2142E5E4" w14:textId="4CD0C202" w:rsidR="009361B0" w:rsidRPr="00D01B06" w:rsidRDefault="009361B0" w:rsidP="00135F7C">
      <w:pPr>
        <w:pStyle w:val="Normal1"/>
        <w:jc w:val="both"/>
        <w:rPr>
          <w:rFonts w:ascii="Times New Roman" w:hAnsi="Times New Roman" w:cs="Times New Roman"/>
          <w:sz w:val="20"/>
          <w:szCs w:val="20"/>
          <w:shd w:val="clear" w:color="auto" w:fill="FFFFFF"/>
        </w:rPr>
      </w:pPr>
      <w:r w:rsidRPr="00971EAF">
        <w:rPr>
          <w:rStyle w:val="FootnoteReference"/>
          <w:rFonts w:ascii="Times New Roman" w:hAnsi="Times New Roman" w:cs="Times New Roman"/>
          <w:sz w:val="20"/>
          <w:szCs w:val="20"/>
        </w:rPr>
        <w:footnoteRef/>
      </w:r>
      <w:r w:rsidRPr="00971EAF">
        <w:rPr>
          <w:rFonts w:ascii="Times New Roman" w:hAnsi="Times New Roman" w:cs="Times New Roman"/>
          <w:sz w:val="20"/>
          <w:szCs w:val="20"/>
        </w:rPr>
        <w:t xml:space="preserve"> </w:t>
      </w:r>
      <w:r>
        <w:rPr>
          <w:rFonts w:ascii="Times New Roman" w:hAnsi="Times New Roman" w:cs="Times New Roman"/>
          <w:sz w:val="20"/>
          <w:szCs w:val="20"/>
        </w:rPr>
        <w:t xml:space="preserve"> </w:t>
      </w:r>
      <w:r w:rsidRPr="00C826D1">
        <w:rPr>
          <w:rFonts w:ascii="Times New Roman" w:hAnsi="Times New Roman" w:cs="Times New Roman"/>
          <w:sz w:val="20"/>
          <w:szCs w:val="20"/>
        </w:rPr>
        <w:t xml:space="preserve">ERCOT </w:t>
      </w:r>
      <w:r w:rsidRPr="00D01B06">
        <w:rPr>
          <w:rFonts w:ascii="Times New Roman" w:hAnsi="Times New Roman" w:cs="Times New Roman"/>
          <w:sz w:val="20"/>
          <w:szCs w:val="20"/>
        </w:rPr>
        <w:t>System Planning: 2018 Long-term System Assessment for the ERCOT Region. December 2018</w:t>
      </w:r>
      <w:r w:rsidR="00D01B06">
        <w:rPr>
          <w:rFonts w:ascii="Times New Roman" w:hAnsi="Times New Roman" w:cs="Times New Roman"/>
          <w:sz w:val="20"/>
          <w:szCs w:val="20"/>
        </w:rPr>
        <w:t>.</w:t>
      </w:r>
      <w:r w:rsidRPr="00D01B06">
        <w:rPr>
          <w:rFonts w:ascii="Times New Roman" w:hAnsi="Times New Roman" w:cs="Times New Roman"/>
          <w:sz w:val="20"/>
          <w:szCs w:val="20"/>
        </w:rPr>
        <w:t xml:space="preserve"> </w:t>
      </w:r>
    </w:p>
    <w:p w14:paraId="1E7A0D22" w14:textId="77777777" w:rsidR="009361B0" w:rsidRPr="00C826D1" w:rsidRDefault="009361B0" w:rsidP="0071243E">
      <w:pPr>
        <w:pStyle w:val="FootnoteText"/>
        <w:ind w:firstLine="0"/>
      </w:pPr>
      <w:r w:rsidRPr="00D01B06">
        <w:rPr>
          <w:rFonts w:cs="Times New Roman"/>
          <w:shd w:val="clear" w:color="auto" w:fill="FFFFFF"/>
        </w:rPr>
        <w:t xml:space="preserve"> </w:t>
      </w:r>
      <w:hyperlink r:id="rId5" w:history="1">
        <w:r w:rsidRPr="00D01B06">
          <w:rPr>
            <w:rStyle w:val="Hyperlink"/>
            <w:rFonts w:cs="Times New Roman"/>
            <w:color w:val="auto"/>
            <w:u w:val="none"/>
          </w:rPr>
          <w:t>http://www.ercot.com/content/wcm/lists/144927/2018_LTSA_Report.pdf</w:t>
        </w:r>
      </w:hyperlink>
      <w:r w:rsidRPr="00D01B06">
        <w:rPr>
          <w:rFonts w:cs="Times New Roman"/>
        </w:rPr>
        <w:t>.</w:t>
      </w:r>
    </w:p>
  </w:footnote>
  <w:footnote w:id="22">
    <w:p w14:paraId="52D7FCDF" w14:textId="6283D953" w:rsidR="009361B0" w:rsidRPr="00D01B06" w:rsidRDefault="009361B0" w:rsidP="00971EAF">
      <w:pPr>
        <w:pStyle w:val="FootnoteText"/>
        <w:ind w:firstLine="0"/>
      </w:pPr>
      <w:r>
        <w:rPr>
          <w:rStyle w:val="FootnoteReference"/>
        </w:rPr>
        <w:footnoteRef/>
      </w:r>
      <w:r>
        <w:t xml:space="preserve">  </w:t>
      </w:r>
      <w:r w:rsidRPr="005C7481">
        <w:rPr>
          <w:rFonts w:eastAsia="Calibri" w:cs="Times New Roman"/>
        </w:rPr>
        <w:t xml:space="preserve">McKinsey </w:t>
      </w:r>
      <w:r w:rsidRPr="00D01B06">
        <w:rPr>
          <w:rFonts w:eastAsia="Calibri" w:cs="Times New Roman"/>
        </w:rPr>
        <w:t xml:space="preserve">Center for Future Mobility, </w:t>
      </w:r>
      <w:r w:rsidRPr="00D01B06">
        <w:rPr>
          <w:rFonts w:eastAsia="Calibri" w:cs="Times New Roman"/>
          <w:i/>
          <w:iCs/>
        </w:rPr>
        <w:t xml:space="preserve">The Potential Impact of Electric Vehicles on Global Energy Systems. </w:t>
      </w:r>
      <w:r w:rsidRPr="00D01B06">
        <w:rPr>
          <w:rFonts w:eastAsia="Calibri" w:cs="Times New Roman"/>
        </w:rPr>
        <w:t>July 2018.</w:t>
      </w:r>
      <w:r w:rsidRPr="00D01B06">
        <w:rPr>
          <w:rFonts w:eastAsia="Calibri" w:cs="Times New Roman"/>
          <w:sz w:val="24"/>
          <w:szCs w:val="24"/>
        </w:rPr>
        <w:t xml:space="preserve"> </w:t>
      </w:r>
      <w:hyperlink r:id="rId6" w:history="1">
        <w:r w:rsidRPr="00D01B06">
          <w:rPr>
            <w:rStyle w:val="Hyperlink"/>
            <w:rFonts w:cs="Times New Roman"/>
            <w:color w:val="auto"/>
            <w:u w:val="none"/>
          </w:rPr>
          <w:t>https://www.mckinsey.com/industries/automotive-and-assembly/our-insights/the-potential-impact-of-electric-vehicles-on-global-energy-systems</w:t>
        </w:r>
      </w:hyperlink>
      <w:r w:rsidRPr="00D01B06">
        <w:rPr>
          <w:rStyle w:val="Hyperlink"/>
          <w:rFonts w:cs="Times New Roman"/>
          <w:color w:val="auto"/>
          <w:u w:val="none"/>
        </w:rPr>
        <w:t>.</w:t>
      </w:r>
    </w:p>
  </w:footnote>
  <w:footnote w:id="23">
    <w:p w14:paraId="430CE9BA" w14:textId="550601E7" w:rsidR="009361B0" w:rsidRPr="005C7481" w:rsidRDefault="009361B0" w:rsidP="00971EAF">
      <w:pPr>
        <w:pStyle w:val="FootnoteText"/>
        <w:ind w:firstLine="0"/>
        <w:rPr>
          <w:i/>
          <w:iCs/>
        </w:rPr>
      </w:pPr>
      <w:r w:rsidRPr="00D01B06">
        <w:rPr>
          <w:rStyle w:val="FootnoteReference"/>
        </w:rPr>
        <w:footnoteRef/>
      </w:r>
      <w:r w:rsidRPr="00D01B06">
        <w:t xml:space="preserve">  </w:t>
      </w:r>
      <w:r w:rsidRPr="00D01B06">
        <w:rPr>
          <w:rFonts w:cs="Times New Roman"/>
          <w:i/>
          <w:iCs/>
        </w:rPr>
        <w:t>Ibid. Exhibit 5</w:t>
      </w:r>
      <w:r w:rsidRPr="005C7481">
        <w:rPr>
          <w:rFonts w:cs="Times New Roman"/>
          <w:i/>
          <w:iCs/>
        </w:rPr>
        <w:t>.</w:t>
      </w:r>
    </w:p>
  </w:footnote>
  <w:footnote w:id="24">
    <w:p w14:paraId="3815B493" w14:textId="7FAFB40B" w:rsidR="009361B0" w:rsidRPr="00F5704A" w:rsidRDefault="009361B0" w:rsidP="00971EAF">
      <w:pPr>
        <w:pStyle w:val="FootnoteText"/>
        <w:ind w:firstLine="0"/>
        <w:rPr>
          <w:i/>
          <w:iCs/>
        </w:rPr>
      </w:pPr>
      <w:r>
        <w:rPr>
          <w:rStyle w:val="FootnoteReference"/>
        </w:rPr>
        <w:footnoteRef/>
      </w:r>
      <w:r>
        <w:t xml:space="preserve">  </w:t>
      </w:r>
      <w:r w:rsidRPr="00F5704A">
        <w:rPr>
          <w:rFonts w:cs="Times New Roman"/>
        </w:rPr>
        <w:t xml:space="preserve">Steven Schey, Don Scoffield, John Smart. </w:t>
      </w:r>
      <w:r w:rsidRPr="00F5704A">
        <w:rPr>
          <w:rFonts w:cs="Times New Roman"/>
          <w:i/>
          <w:iCs/>
        </w:rPr>
        <w:t xml:space="preserve">A </w:t>
      </w:r>
      <w:r w:rsidRPr="00D01B06">
        <w:rPr>
          <w:rFonts w:cs="Times New Roman"/>
          <w:i/>
          <w:iCs/>
        </w:rPr>
        <w:t xml:space="preserve">First Look at the Impact of Electrical Vehicle Charging on the Electric Grid in the EV Project. </w:t>
      </w:r>
      <w:hyperlink r:id="rId7" w:history="1">
        <w:r w:rsidRPr="00D01B06">
          <w:rPr>
            <w:rStyle w:val="Hyperlink"/>
            <w:rFonts w:cs="Times New Roman"/>
            <w:color w:val="auto"/>
            <w:u w:val="none"/>
          </w:rPr>
          <w:t>https://www.energy.gov/sites/prod/files/2014/02/f8/evs26_charging_demand_manuscript.pdf</w:t>
        </w:r>
      </w:hyperlink>
      <w:r w:rsidR="00D01B06">
        <w:rPr>
          <w:rStyle w:val="Hyperlink"/>
          <w:rFonts w:cs="Times New Roman"/>
          <w:color w:val="auto"/>
          <w:u w:val="none"/>
        </w:rPr>
        <w:t>.</w:t>
      </w:r>
    </w:p>
  </w:footnote>
  <w:footnote w:id="25">
    <w:p w14:paraId="2857C56A" w14:textId="7E0D0FE8" w:rsidR="009361B0" w:rsidRPr="00C71466" w:rsidRDefault="009361B0" w:rsidP="00971EAF">
      <w:pPr>
        <w:autoSpaceDE w:val="0"/>
        <w:autoSpaceDN w:val="0"/>
        <w:adjustRightInd w:val="0"/>
        <w:spacing w:line="240" w:lineRule="auto"/>
        <w:ind w:firstLine="0"/>
        <w:rPr>
          <w:rFonts w:cs="Times New Roman"/>
          <w:sz w:val="20"/>
          <w:szCs w:val="20"/>
          <w:lang w:val="en"/>
        </w:rPr>
      </w:pPr>
      <w:r>
        <w:rPr>
          <w:rStyle w:val="FootnoteReference"/>
        </w:rPr>
        <w:footnoteRef/>
      </w:r>
      <w:r>
        <w:t xml:space="preserve">  </w:t>
      </w:r>
      <w:r>
        <w:rPr>
          <w:rFonts w:cs="Times New Roman"/>
          <w:sz w:val="20"/>
          <w:szCs w:val="20"/>
        </w:rPr>
        <w:t xml:space="preserve">Anamika Dubey, Surya Santoso. </w:t>
      </w:r>
      <w:r w:rsidRPr="00C71466">
        <w:rPr>
          <w:rFonts w:cs="Times New Roman"/>
          <w:i/>
          <w:iCs/>
          <w:sz w:val="20"/>
          <w:szCs w:val="20"/>
        </w:rPr>
        <w:t xml:space="preserve">Electric Vehicle Charging on Residential Distribution Systems: Impacts and </w:t>
      </w:r>
      <w:r w:rsidRPr="00C71466">
        <w:rPr>
          <w:rFonts w:cs="Times New Roman"/>
          <w:sz w:val="20"/>
          <w:szCs w:val="20"/>
          <w:lang w:val="en"/>
        </w:rPr>
        <w:t xml:space="preserve">Mitigations. </w:t>
      </w:r>
      <w:r w:rsidRPr="00C71466">
        <w:rPr>
          <w:rFonts w:cs="Times New Roman"/>
          <w:sz w:val="20"/>
          <w:szCs w:val="20"/>
        </w:rPr>
        <w:t> </w:t>
      </w:r>
      <w:r w:rsidRPr="00C71466">
        <w:rPr>
          <w:rFonts w:cs="Times New Roman"/>
          <w:i/>
          <w:iCs/>
          <w:sz w:val="20"/>
          <w:szCs w:val="20"/>
        </w:rPr>
        <w:t>IEEE Access</w:t>
      </w:r>
      <w:r w:rsidRPr="00C71466">
        <w:rPr>
          <w:rFonts w:cs="Times New Roman"/>
          <w:sz w:val="20"/>
          <w:szCs w:val="20"/>
        </w:rPr>
        <w:t>, </w:t>
      </w:r>
      <w:r w:rsidRPr="00C71466">
        <w:rPr>
          <w:rFonts w:cs="Times New Roman"/>
          <w:i/>
          <w:iCs/>
          <w:sz w:val="20"/>
          <w:szCs w:val="20"/>
        </w:rPr>
        <w:t>3</w:t>
      </w:r>
      <w:r w:rsidRPr="00C71466">
        <w:rPr>
          <w:rFonts w:cs="Times New Roman"/>
          <w:sz w:val="20"/>
          <w:szCs w:val="20"/>
        </w:rPr>
        <w:t>, 18711893.[7264982]. </w:t>
      </w:r>
      <w:r>
        <w:rPr>
          <w:rFonts w:cs="Times New Roman"/>
          <w:sz w:val="20"/>
          <w:szCs w:val="20"/>
        </w:rPr>
        <w:t>https://</w:t>
      </w:r>
      <w:r w:rsidRPr="00C71466">
        <w:rPr>
          <w:rFonts w:cs="Times New Roman"/>
          <w:sz w:val="20"/>
          <w:szCs w:val="20"/>
        </w:rPr>
        <w:t>doi.org/10.1109/ACCESS.2015.2476996</w:t>
      </w:r>
      <w:r>
        <w:rPr>
          <w:rFonts w:cs="Times New Roman"/>
          <w:sz w:val="20"/>
          <w:szCs w:val="20"/>
        </w:rPr>
        <w:t>.</w:t>
      </w:r>
    </w:p>
  </w:footnote>
  <w:footnote w:id="26">
    <w:p w14:paraId="11442A4C" w14:textId="56282054" w:rsidR="009361B0" w:rsidRPr="00C71466" w:rsidRDefault="009361B0" w:rsidP="00971EAF">
      <w:pPr>
        <w:pStyle w:val="FootnoteText"/>
        <w:ind w:firstLine="0"/>
      </w:pPr>
      <w:r>
        <w:rPr>
          <w:rStyle w:val="FootnoteReference"/>
        </w:rPr>
        <w:footnoteRef/>
      </w:r>
      <w:r>
        <w:t xml:space="preserve">  </w:t>
      </w:r>
      <w:r w:rsidRPr="00C71466">
        <w:rPr>
          <w:i/>
          <w:iCs/>
        </w:rPr>
        <w:t>Ibid.</w:t>
      </w:r>
    </w:p>
  </w:footnote>
  <w:footnote w:id="27">
    <w:p w14:paraId="293D2259" w14:textId="60F73771" w:rsidR="009361B0" w:rsidRPr="00C65499" w:rsidRDefault="009361B0" w:rsidP="00971EAF">
      <w:pPr>
        <w:pStyle w:val="FootnoteText"/>
        <w:ind w:firstLine="0"/>
        <w:rPr>
          <w:rFonts w:cs="Times New Roman"/>
        </w:rPr>
      </w:pPr>
      <w:r>
        <w:rPr>
          <w:rStyle w:val="FootnoteReference"/>
        </w:rPr>
        <w:footnoteRef/>
      </w:r>
      <w:r>
        <w:t xml:space="preserve">  </w:t>
      </w:r>
      <w:r w:rsidRPr="00C65499">
        <w:rPr>
          <w:rFonts w:cs="Times New Roman"/>
        </w:rPr>
        <w:t xml:space="preserve">F. Todd Davidson, Dave Tuttle, Joshua D. Rhodes, Kazunori Nagasawa, </w:t>
      </w:r>
      <w:r w:rsidRPr="00C65499">
        <w:rPr>
          <w:rFonts w:cs="Times New Roman"/>
          <w:i/>
          <w:iCs/>
        </w:rPr>
        <w:t xml:space="preserve">Switching to Electric Vehicles Could Save Us Billions but Timing is </w:t>
      </w:r>
      <w:r w:rsidRPr="00D01B06">
        <w:rPr>
          <w:rFonts w:cs="Times New Roman"/>
          <w:i/>
          <w:iCs/>
        </w:rPr>
        <w:t>Everything</w:t>
      </w:r>
      <w:r w:rsidRPr="00D01B06">
        <w:rPr>
          <w:rFonts w:cs="Times New Roman"/>
        </w:rPr>
        <w:t xml:space="preserve">, </w:t>
      </w:r>
      <w:hyperlink r:id="rId8" w:history="1">
        <w:r w:rsidRPr="00D01B06">
          <w:rPr>
            <w:rStyle w:val="Hyperlink"/>
            <w:rFonts w:cs="Times New Roman"/>
            <w:color w:val="auto"/>
            <w:u w:val="none"/>
          </w:rPr>
          <w:t>www.theconversation.com</w:t>
        </w:r>
      </w:hyperlink>
      <w:r w:rsidRPr="00D01B06">
        <w:rPr>
          <w:rFonts w:cs="Times New Roman"/>
        </w:rPr>
        <w:t xml:space="preserve">. </w:t>
      </w:r>
      <w:hyperlink r:id="rId9" w:history="1">
        <w:r w:rsidRPr="00D01B06">
          <w:rPr>
            <w:rStyle w:val="Hyperlink"/>
            <w:rFonts w:cs="Times New Roman"/>
            <w:color w:val="auto"/>
            <w:u w:val="none"/>
          </w:rPr>
          <w:t>https://theconversation.com/switching-to-electric-vehicles-could-save-the-us-billions-but-timing-is-everything-106227</w:t>
        </w:r>
      </w:hyperlink>
      <w:r w:rsidR="00D01B06">
        <w:rPr>
          <w:rFonts w:cs="Times New Roman"/>
        </w:rPr>
        <w:t>.</w:t>
      </w:r>
    </w:p>
  </w:footnote>
  <w:footnote w:id="28">
    <w:p w14:paraId="3A59BD95" w14:textId="160BCA5C" w:rsidR="009361B0" w:rsidRPr="005F55BD" w:rsidRDefault="009361B0" w:rsidP="00E15F0A">
      <w:pPr>
        <w:spacing w:line="240" w:lineRule="auto"/>
        <w:ind w:firstLine="0"/>
        <w:rPr>
          <w:rFonts w:eastAsia="Times New Roman" w:cs="Times New Roman"/>
          <w:sz w:val="20"/>
          <w:szCs w:val="20"/>
        </w:rPr>
      </w:pPr>
      <w:r w:rsidRPr="00ED3A4F">
        <w:rPr>
          <w:rStyle w:val="FootnoteReference"/>
          <w:rFonts w:cs="Times New Roman"/>
          <w:sz w:val="20"/>
          <w:szCs w:val="20"/>
        </w:rPr>
        <w:footnoteRef/>
      </w:r>
      <w:r w:rsidRPr="00ED3A4F">
        <w:rPr>
          <w:rFonts w:cs="Times New Roman"/>
          <w:sz w:val="20"/>
          <w:szCs w:val="20"/>
        </w:rPr>
        <w:t xml:space="preserve"> </w:t>
      </w:r>
      <w:r>
        <w:rPr>
          <w:rFonts w:cs="Times New Roman"/>
          <w:sz w:val="20"/>
          <w:szCs w:val="20"/>
        </w:rPr>
        <w:t xml:space="preserve"> </w:t>
      </w:r>
      <w:r w:rsidRPr="00ED3A4F">
        <w:rPr>
          <w:rFonts w:cs="Times New Roman"/>
          <w:sz w:val="20"/>
          <w:szCs w:val="20"/>
        </w:rPr>
        <w:t xml:space="preserve"> </w:t>
      </w:r>
      <w:r w:rsidRPr="00ED3A4F">
        <w:rPr>
          <w:rFonts w:eastAsia="Times New Roman" w:cs="Times New Roman"/>
          <w:sz w:val="20"/>
          <w:szCs w:val="20"/>
        </w:rPr>
        <w:t xml:space="preserve">Ryan Collin, Yu Miao, Alex Yokochi,, Prasad Enjeti and Annette von Jouanne.  </w:t>
      </w:r>
      <w:r w:rsidRPr="00ED3A4F">
        <w:rPr>
          <w:rFonts w:eastAsia="Times New Roman" w:cs="Times New Roman"/>
          <w:i/>
          <w:iCs/>
          <w:sz w:val="20"/>
          <w:szCs w:val="20"/>
        </w:rPr>
        <w:t>Advanced Electric Vehicle Fast-Charging Technologies</w:t>
      </w:r>
      <w:r w:rsidRPr="00ED3A4F">
        <w:rPr>
          <w:rFonts w:eastAsia="Times New Roman" w:cs="Times New Roman"/>
          <w:sz w:val="20"/>
          <w:szCs w:val="20"/>
        </w:rPr>
        <w:t xml:space="preserve">. </w:t>
      </w:r>
      <w:r w:rsidRPr="00ED3A4F">
        <w:rPr>
          <w:rFonts w:eastAsia="Times New Roman" w:cs="Times New Roman"/>
          <w:i/>
          <w:color w:val="222222"/>
          <w:sz w:val="20"/>
          <w:szCs w:val="20"/>
          <w:highlight w:val="white"/>
        </w:rPr>
        <w:t>Energies</w:t>
      </w:r>
      <w:r w:rsidRPr="00ED3A4F">
        <w:rPr>
          <w:rFonts w:eastAsia="Times New Roman" w:cs="Times New Roman"/>
          <w:color w:val="222222"/>
          <w:sz w:val="20"/>
          <w:szCs w:val="20"/>
          <w:highlight w:val="white"/>
        </w:rPr>
        <w:t> 2019, </w:t>
      </w:r>
      <w:r w:rsidRPr="00ED3A4F">
        <w:rPr>
          <w:rFonts w:eastAsia="Times New Roman" w:cs="Times New Roman"/>
          <w:i/>
          <w:color w:val="222222"/>
          <w:sz w:val="20"/>
          <w:szCs w:val="20"/>
          <w:highlight w:val="white"/>
        </w:rPr>
        <w:t>12</w:t>
      </w:r>
      <w:r w:rsidRPr="00ED3A4F">
        <w:rPr>
          <w:rFonts w:eastAsia="Times New Roman" w:cs="Times New Roman"/>
          <w:color w:val="222222"/>
          <w:sz w:val="20"/>
          <w:szCs w:val="20"/>
          <w:highlight w:val="white"/>
        </w:rPr>
        <w:t>(10), 1839</w:t>
      </w:r>
      <w:r w:rsidRPr="00D01B06">
        <w:rPr>
          <w:rFonts w:eastAsia="Times New Roman" w:cs="Times New Roman"/>
          <w:sz w:val="20"/>
          <w:szCs w:val="20"/>
          <w:highlight w:val="white"/>
        </w:rPr>
        <w:t>. </w:t>
      </w:r>
      <w:hyperlink r:id="rId10">
        <w:r w:rsidRPr="00D01B06">
          <w:rPr>
            <w:rFonts w:eastAsia="Times New Roman" w:cs="Times New Roman"/>
            <w:sz w:val="20"/>
            <w:szCs w:val="20"/>
            <w:highlight w:val="white"/>
          </w:rPr>
          <w:t>https://doi.org/10.3390/en12101839</w:t>
        </w:r>
      </w:hyperlink>
      <w:r w:rsidRPr="00D01B06">
        <w:rPr>
          <w:rFonts w:eastAsia="Times New Roman" w:cs="Times New Roman"/>
          <w:sz w:val="20"/>
          <w:szCs w:val="20"/>
        </w:rPr>
        <w:t xml:space="preserve">. </w:t>
      </w:r>
    </w:p>
  </w:footnote>
  <w:footnote w:id="29">
    <w:p w14:paraId="46A76366" w14:textId="7F76A94A" w:rsidR="009361B0" w:rsidRDefault="009361B0" w:rsidP="009361B0">
      <w:pPr>
        <w:pStyle w:val="FootnoteText"/>
        <w:ind w:firstLine="0"/>
      </w:pPr>
      <w:r>
        <w:rPr>
          <w:rStyle w:val="FootnoteReference"/>
        </w:rPr>
        <w:footnoteRef/>
      </w:r>
      <w:r>
        <w:t xml:space="preserve">  </w:t>
      </w:r>
      <w:r w:rsidRPr="00D01B06">
        <w:rPr>
          <w:rFonts w:cs="Times New Roman"/>
          <w:bCs/>
        </w:rPr>
        <w:t xml:space="preserve">James Pero, </w:t>
      </w:r>
      <w:r w:rsidRPr="00D01B06">
        <w:rPr>
          <w:rFonts w:cs="Times New Roman"/>
          <w:bCs/>
          <w:i/>
          <w:iCs/>
          <w:spacing w:val="-2"/>
        </w:rPr>
        <w:t>New ultra-fast pumps can charge up an electric vehicle in just 10 minutes - but car batteries aren't advanced enough yet to handle it,</w:t>
      </w:r>
      <w:r w:rsidRPr="00D01B06">
        <w:rPr>
          <w:rFonts w:cs="Times New Roman"/>
          <w:bCs/>
        </w:rPr>
        <w:t xml:space="preserve"> TheDailyMail.com ,April 5, 2019</w:t>
      </w:r>
      <w:r w:rsidRPr="00D01B06">
        <w:rPr>
          <w:rFonts w:cs="Times New Roman"/>
          <w:bCs/>
          <w:spacing w:val="-2"/>
        </w:rPr>
        <w:t xml:space="preserve">. </w:t>
      </w:r>
      <w:hyperlink r:id="rId11" w:history="1">
        <w:r w:rsidRPr="00D01B06">
          <w:rPr>
            <w:rStyle w:val="Hyperlink"/>
            <w:rFonts w:cs="Times New Roman"/>
            <w:bCs/>
            <w:color w:val="auto"/>
            <w:u w:val="none"/>
          </w:rPr>
          <w:t>https://www.dailymail.co.uk/sciencetech/article-6892099/New-ultra-fast-pumps-charge-electric-car-minutes-theres-battery-handle-it.html</w:t>
        </w:r>
      </w:hyperlink>
      <w:r>
        <w:rPr>
          <w:rFonts w:cs="Times New Roman"/>
          <w:bCs/>
        </w:rPr>
        <w:t>.</w:t>
      </w:r>
    </w:p>
  </w:footnote>
  <w:footnote w:id="30">
    <w:p w14:paraId="3A48962A" w14:textId="7F97448C" w:rsidR="009361B0" w:rsidRPr="00D01B06" w:rsidRDefault="009361B0" w:rsidP="00AD764D">
      <w:pPr>
        <w:pStyle w:val="Heading1"/>
        <w:rPr>
          <w:spacing w:val="-3"/>
        </w:rPr>
      </w:pPr>
      <w:r w:rsidRPr="00D01B06">
        <w:rPr>
          <w:rStyle w:val="FootnoteReference"/>
          <w:b w:val="0"/>
          <w:bCs/>
          <w:sz w:val="20"/>
          <w:szCs w:val="20"/>
        </w:rPr>
        <w:footnoteRef/>
      </w:r>
      <w:r w:rsidRPr="00D01B06">
        <w:rPr>
          <w:b w:val="0"/>
          <w:bCs/>
          <w:sz w:val="20"/>
          <w:szCs w:val="20"/>
        </w:rPr>
        <w:t xml:space="preserve">  </w:t>
      </w:r>
      <w:r w:rsidRPr="00D01B06">
        <w:rPr>
          <w:rFonts w:cs="Times New Roman"/>
          <w:b w:val="0"/>
          <w:bCs/>
          <w:sz w:val="20"/>
          <w:szCs w:val="20"/>
        </w:rPr>
        <w:t>Peter Kelly-Detwiler, Forbes</w:t>
      </w:r>
      <w:r w:rsidRPr="00D01B06">
        <w:rPr>
          <w:b w:val="0"/>
          <w:bCs/>
          <w:i/>
          <w:iCs/>
          <w:sz w:val="20"/>
          <w:szCs w:val="20"/>
        </w:rPr>
        <w:t xml:space="preserve">. </w:t>
      </w:r>
      <w:r w:rsidRPr="00D01B06">
        <w:rPr>
          <w:b w:val="0"/>
          <w:bCs/>
          <w:i/>
          <w:iCs/>
          <w:spacing w:val="-3"/>
          <w:sz w:val="20"/>
          <w:szCs w:val="20"/>
        </w:rPr>
        <w:t>The Future of Electric Vehicle Charging: Executives At EVgo Weigh In</w:t>
      </w:r>
      <w:r w:rsidRPr="00D01B06">
        <w:rPr>
          <w:b w:val="0"/>
          <w:bCs/>
          <w:spacing w:val="-3"/>
          <w:sz w:val="20"/>
          <w:szCs w:val="20"/>
        </w:rPr>
        <w:t xml:space="preserve">, </w:t>
      </w:r>
      <w:r w:rsidRPr="00D01B06">
        <w:rPr>
          <w:rFonts w:cs="Times New Roman"/>
          <w:b w:val="0"/>
          <w:bCs/>
          <w:sz w:val="20"/>
          <w:szCs w:val="20"/>
        </w:rPr>
        <w:t>January 21, 2019.</w:t>
      </w:r>
      <w:r w:rsidRPr="00D01B06">
        <w:rPr>
          <w:rFonts w:cs="Times New Roman"/>
        </w:rPr>
        <w:t xml:space="preserve"> </w:t>
      </w:r>
      <w:hyperlink r:id="rId12" w:anchor="191b93e5f24b" w:history="1">
        <w:r w:rsidRPr="00D01B06">
          <w:rPr>
            <w:rStyle w:val="Hyperlink"/>
            <w:b w:val="0"/>
            <w:bCs/>
            <w:color w:val="auto"/>
            <w:sz w:val="20"/>
            <w:szCs w:val="20"/>
            <w:u w:val="none"/>
          </w:rPr>
          <w:t>https://www.forbes.com/sites/peterdetwiler/2019/01/21/the-future-of-electric-vehicle-charging-executives-at-evgo-weigh-in/#191b93e5f24b</w:t>
        </w:r>
      </w:hyperlink>
      <w:r w:rsidRPr="00D01B06">
        <w:rPr>
          <w:b w:val="0"/>
          <w:bCs/>
        </w:rPr>
        <w:t>.</w:t>
      </w:r>
    </w:p>
  </w:footnote>
  <w:footnote w:id="31">
    <w:p w14:paraId="0DB59FF4" w14:textId="692DAC10" w:rsidR="009361B0" w:rsidRPr="00D01B06" w:rsidRDefault="009361B0" w:rsidP="00E15F0A">
      <w:pPr>
        <w:pStyle w:val="FootnoteText"/>
        <w:ind w:firstLine="0"/>
        <w:rPr>
          <w:rFonts w:cs="Times New Roman"/>
        </w:rPr>
      </w:pPr>
      <w:r w:rsidRPr="00CE1C4A">
        <w:rPr>
          <w:rStyle w:val="FootnoteReference"/>
          <w:rFonts w:cs="Times New Roman"/>
        </w:rPr>
        <w:footnoteRef/>
      </w:r>
      <w:r w:rsidRPr="00CE1C4A">
        <w:rPr>
          <w:rFonts w:cs="Times New Roman"/>
        </w:rPr>
        <w:t xml:space="preserve">  </w:t>
      </w:r>
      <w:r w:rsidRPr="00CE1C4A">
        <w:rPr>
          <w:rFonts w:cs="Times New Roman"/>
          <w:i/>
          <w:iCs/>
        </w:rPr>
        <w:t>Charging Systems for Ebuses</w:t>
      </w:r>
      <w:r>
        <w:rPr>
          <w:rFonts w:cs="Times New Roman"/>
        </w:rPr>
        <w:t>, S</w:t>
      </w:r>
      <w:r w:rsidRPr="00CE1C4A">
        <w:rPr>
          <w:rFonts w:cs="Times New Roman"/>
        </w:rPr>
        <w:t>iemens</w:t>
      </w:r>
      <w:r w:rsidRPr="00D01B06">
        <w:rPr>
          <w:rFonts w:cs="Times New Roman"/>
        </w:rPr>
        <w:t xml:space="preserve">. </w:t>
      </w:r>
      <w:hyperlink r:id="rId13" w:history="1">
        <w:r w:rsidRPr="00D01B06">
          <w:rPr>
            <w:rStyle w:val="Hyperlink"/>
            <w:rFonts w:cs="Times New Roman"/>
            <w:color w:val="auto"/>
            <w:u w:val="none"/>
          </w:rPr>
          <w:t>https://new.siemens.com/global/en/markets/transportation-logistics/electromobility/ebus-charging.html</w:t>
        </w:r>
      </w:hyperlink>
      <w:r w:rsidRPr="00D01B06">
        <w:rPr>
          <w:rFonts w:cs="Times New Roman"/>
        </w:rPr>
        <w:t>.</w:t>
      </w:r>
    </w:p>
  </w:footnote>
  <w:footnote w:id="32">
    <w:p w14:paraId="0BC60D30" w14:textId="77777777" w:rsidR="009361B0" w:rsidRPr="00677EC5" w:rsidRDefault="009361B0" w:rsidP="00E15F0A">
      <w:pPr>
        <w:pStyle w:val="FootnoteText"/>
        <w:ind w:firstLine="0"/>
        <w:rPr>
          <w:rFonts w:cs="Times New Roman"/>
        </w:rPr>
      </w:pPr>
      <w:r w:rsidRPr="00D01B06">
        <w:rPr>
          <w:rStyle w:val="FootnoteReference"/>
          <w:rFonts w:cs="Times New Roman"/>
        </w:rPr>
        <w:footnoteRef/>
      </w:r>
      <w:r w:rsidRPr="00D01B06">
        <w:rPr>
          <w:rFonts w:cs="Times New Roman"/>
        </w:rPr>
        <w:t xml:space="preserve">  M.H. Braga, N.S. Grundish, A.J. Murchison and J.B. Goodenough, Alternative Strategy for a Safe, Rechargeable Battery, Energy &amp; Environmental Science, 2017. </w:t>
      </w:r>
      <w:hyperlink r:id="rId14" w:anchor="!divAbstract" w:history="1">
        <w:r w:rsidRPr="00D01B06">
          <w:rPr>
            <w:rStyle w:val="Hyperlink"/>
            <w:rFonts w:cs="Times New Roman"/>
            <w:color w:val="auto"/>
            <w:u w:val="none"/>
          </w:rPr>
          <w:t>https://pubs.rsc.org/en/Content/ArticleLanding/2017/EE/C6EE02888H#!divAbstract</w:t>
        </w:r>
      </w:hyperlink>
      <w:r w:rsidRPr="00D01B06">
        <w:rPr>
          <w:rFonts w:cs="Times New Roman"/>
        </w:rPr>
        <w:t>.</w:t>
      </w:r>
    </w:p>
  </w:footnote>
  <w:footnote w:id="33">
    <w:p w14:paraId="0E21C90F" w14:textId="05714F74" w:rsidR="009361B0" w:rsidRPr="00D01B06" w:rsidRDefault="009361B0" w:rsidP="00900F6B">
      <w:pPr>
        <w:pStyle w:val="FootnoteText"/>
        <w:ind w:firstLine="0"/>
      </w:pPr>
      <w:r>
        <w:rPr>
          <w:rStyle w:val="FootnoteReference"/>
        </w:rPr>
        <w:footnoteRef/>
      </w:r>
      <w:r>
        <w:t xml:space="preserve">  </w:t>
      </w:r>
      <w:r w:rsidRPr="00900F6B">
        <w:rPr>
          <w:i/>
          <w:iCs/>
        </w:rPr>
        <w:t xml:space="preserve">Switching to electric vehicles </w:t>
      </w:r>
      <w:r w:rsidRPr="00D01B06">
        <w:rPr>
          <w:i/>
          <w:iCs/>
        </w:rPr>
        <w:t>could save the US billions, but timing is everything</w:t>
      </w:r>
      <w:r w:rsidRPr="00D01B06">
        <w:t xml:space="preserve">. December 4, 2018. </w:t>
      </w:r>
      <w:hyperlink r:id="rId15" w:history="1">
        <w:r w:rsidRPr="00D01B06">
          <w:rPr>
            <w:rStyle w:val="Hyperlink"/>
            <w:color w:val="auto"/>
            <w:u w:val="none"/>
          </w:rPr>
          <w:t>https://theconversation.com/switching-to-electric-vehicles-could-save-the-us-billions-but-timing-is-everything-106227</w:t>
        </w:r>
      </w:hyperlink>
      <w:r w:rsidRPr="00D01B06">
        <w:rPr>
          <w:rStyle w:val="Hyperlink"/>
          <w:color w:val="auto"/>
          <w:u w:val="none"/>
        </w:rPr>
        <w:t>.</w:t>
      </w:r>
      <w:r w:rsidRPr="00D01B06">
        <w:t xml:space="preserve"> </w:t>
      </w:r>
    </w:p>
  </w:footnote>
  <w:footnote w:id="34">
    <w:p w14:paraId="1435A423" w14:textId="79A129EF" w:rsidR="009361B0" w:rsidRPr="00D01B06" w:rsidRDefault="009361B0" w:rsidP="0071243E">
      <w:pPr>
        <w:spacing w:line="240" w:lineRule="auto"/>
        <w:ind w:firstLine="0"/>
        <w:rPr>
          <w:sz w:val="20"/>
          <w:szCs w:val="20"/>
        </w:rPr>
      </w:pPr>
      <w:r w:rsidRPr="00900F6B">
        <w:rPr>
          <w:rStyle w:val="FootnoteReference"/>
          <w:sz w:val="20"/>
          <w:szCs w:val="20"/>
        </w:rPr>
        <w:footnoteRef/>
      </w:r>
      <w:r w:rsidRPr="00900F6B">
        <w:rPr>
          <w:sz w:val="20"/>
          <w:szCs w:val="20"/>
        </w:rPr>
        <w:t xml:space="preserve"> </w:t>
      </w:r>
      <w:r>
        <w:rPr>
          <w:sz w:val="20"/>
          <w:szCs w:val="20"/>
        </w:rPr>
        <w:t xml:space="preserve"> </w:t>
      </w:r>
      <w:r w:rsidRPr="00D01B06">
        <w:rPr>
          <w:sz w:val="20"/>
          <w:szCs w:val="20"/>
        </w:rPr>
        <w:t xml:space="preserve">Todd Davidson, Dave Tuttle, Joshua D. Rhodes and Kazunori Nagasawa, </w:t>
      </w:r>
      <w:r w:rsidRPr="00D01B06">
        <w:rPr>
          <w:i/>
          <w:iCs/>
          <w:sz w:val="20"/>
          <w:szCs w:val="20"/>
        </w:rPr>
        <w:t>A Tale of Two Grids: How California n and Texas are Preparing for the EV Revolution</w:t>
      </w:r>
      <w:r w:rsidRPr="00D01B06">
        <w:rPr>
          <w:sz w:val="20"/>
          <w:szCs w:val="20"/>
        </w:rPr>
        <w:t>, December 11, 2018, GreenBiz.</w:t>
      </w:r>
      <w:r w:rsidRPr="00D01B06">
        <w:rPr>
          <w:i/>
          <w:iCs/>
          <w:sz w:val="20"/>
          <w:szCs w:val="20"/>
        </w:rPr>
        <w:t xml:space="preserve"> </w:t>
      </w:r>
      <w:hyperlink r:id="rId16" w:history="1">
        <w:r w:rsidRPr="00D01B06">
          <w:rPr>
            <w:rStyle w:val="Hyperlink"/>
            <w:color w:val="auto"/>
            <w:sz w:val="20"/>
            <w:szCs w:val="20"/>
            <w:u w:val="none"/>
          </w:rPr>
          <w:t>https://www.greenbiz.com/article/tale-two-grids-how-california-and-texas-are-preparing-ev-revolution</w:t>
        </w:r>
      </w:hyperlink>
      <w:r w:rsidRPr="00D01B06">
        <w:rPr>
          <w:sz w:val="20"/>
          <w:szCs w:val="20"/>
        </w:rPr>
        <w:t>.</w:t>
      </w:r>
    </w:p>
    <w:p w14:paraId="68E69EB1" w14:textId="77777777" w:rsidR="009361B0" w:rsidRDefault="009361B0" w:rsidP="009F7A22">
      <w:pPr>
        <w:pStyle w:val="FootnoteText"/>
      </w:pPr>
    </w:p>
  </w:footnote>
  <w:footnote w:id="35">
    <w:p w14:paraId="6075A4FD" w14:textId="2451C159" w:rsidR="009361B0" w:rsidRDefault="009361B0" w:rsidP="00900F6B">
      <w:pPr>
        <w:pStyle w:val="FootnoteText"/>
        <w:ind w:firstLine="0"/>
      </w:pPr>
      <w:r>
        <w:rPr>
          <w:rStyle w:val="FootnoteReference"/>
        </w:rPr>
        <w:footnoteRef/>
      </w:r>
      <w:r>
        <w:t xml:space="preserve">  </w:t>
      </w:r>
      <w:r w:rsidRPr="001978C6">
        <w:t>Smart Electric Power Alliance, 2017. Utilities and Electric Vehicles – The Case for Managed Charging. April 2017</w:t>
      </w:r>
      <w:r>
        <w:t>.</w:t>
      </w:r>
    </w:p>
  </w:footnote>
  <w:footnote w:id="36">
    <w:p w14:paraId="1C476949" w14:textId="6F732FCC" w:rsidR="009361B0" w:rsidRDefault="009361B0" w:rsidP="00900F6B">
      <w:pPr>
        <w:pStyle w:val="FootnoteText"/>
        <w:ind w:firstLine="0"/>
      </w:pPr>
      <w:r w:rsidRPr="00F46813">
        <w:rPr>
          <w:vertAlign w:val="superscript"/>
        </w:rPr>
        <w:footnoteRef/>
      </w:r>
      <w:r w:rsidRPr="00F46813">
        <w:rPr>
          <w:vertAlign w:val="superscript"/>
        </w:rPr>
        <w:t xml:space="preserve"> </w:t>
      </w:r>
      <w:r>
        <w:rPr>
          <w:vertAlign w:val="superscript"/>
        </w:rPr>
        <w:t xml:space="preserve"> </w:t>
      </w:r>
      <w:r>
        <w:t xml:space="preserve">ERCOT, 2018. </w:t>
      </w:r>
      <w:r w:rsidRPr="00075151">
        <w:t>2018</w:t>
      </w:r>
      <w:r>
        <w:t xml:space="preserve"> </w:t>
      </w:r>
      <w:r w:rsidRPr="00075151">
        <w:t>Long-term System Assessment for</w:t>
      </w:r>
      <w:r>
        <w:t xml:space="preserve"> </w:t>
      </w:r>
      <w:r w:rsidRPr="00075151">
        <w:t>the ERCOT Region</w:t>
      </w:r>
      <w:r>
        <w:t xml:space="preserve">, </w:t>
      </w:r>
      <w:r w:rsidRPr="00075151">
        <w:t>December 2018</w:t>
      </w:r>
      <w:r>
        <w:t>.</w:t>
      </w:r>
    </w:p>
  </w:footnote>
  <w:footnote w:id="37">
    <w:p w14:paraId="3A3DFD0A" w14:textId="1AB1713C" w:rsidR="009361B0" w:rsidRPr="00D01B06" w:rsidRDefault="009361B0" w:rsidP="00900F6B">
      <w:pPr>
        <w:pStyle w:val="FootnoteText"/>
        <w:ind w:firstLine="0"/>
      </w:pPr>
      <w:r>
        <w:rPr>
          <w:rStyle w:val="FootnoteReference"/>
        </w:rPr>
        <w:footnoteRef/>
      </w:r>
      <w:r>
        <w:t xml:space="preserve">  </w:t>
      </w:r>
      <w:r w:rsidRPr="00900F6B">
        <w:rPr>
          <w:i/>
          <w:iCs/>
        </w:rPr>
        <w:t xml:space="preserve">Switching to </w:t>
      </w:r>
      <w:r w:rsidRPr="00D01B06">
        <w:rPr>
          <w:i/>
          <w:iCs/>
        </w:rPr>
        <w:t>electric vehicles could save the US billions, but timing is everything</w:t>
      </w:r>
      <w:r w:rsidRPr="00D01B06">
        <w:t xml:space="preserve">. December 4, 2018. </w:t>
      </w:r>
      <w:hyperlink r:id="rId17" w:history="1">
        <w:r w:rsidRPr="00D01B06">
          <w:rPr>
            <w:rStyle w:val="Hyperlink"/>
            <w:color w:val="auto"/>
            <w:u w:val="none"/>
          </w:rPr>
          <w:t>https://theconversation.com/switching-to-electric-vehicles-could-save-the-us-billions-but-timing-is-everything-106227</w:t>
        </w:r>
      </w:hyperlink>
      <w:r w:rsidRPr="00D01B06">
        <w:rPr>
          <w:rStyle w:val="Hyperlink"/>
          <w:color w:val="auto"/>
          <w:u w:val="none"/>
        </w:rPr>
        <w:t>.</w:t>
      </w:r>
    </w:p>
  </w:footnote>
  <w:footnote w:id="38">
    <w:p w14:paraId="13AB4546" w14:textId="36270DB8" w:rsidR="009361B0" w:rsidRDefault="009361B0" w:rsidP="00681CBF">
      <w:pPr>
        <w:pStyle w:val="FootnoteText"/>
        <w:ind w:firstLine="0"/>
      </w:pPr>
      <w:r>
        <w:rPr>
          <w:rStyle w:val="FootnoteReference"/>
        </w:rPr>
        <w:footnoteRef/>
      </w:r>
      <w:r>
        <w:t xml:space="preserve">  </w:t>
      </w:r>
      <w:r w:rsidRPr="007A23D5">
        <w:rPr>
          <w:i/>
          <w:iCs/>
        </w:rPr>
        <w:t>See, e.g</w:t>
      </w:r>
      <w:r>
        <w:t xml:space="preserve">., Julian Spector, EMotorWerks, </w:t>
      </w:r>
      <w:r w:rsidRPr="007A23D5">
        <w:rPr>
          <w:i/>
          <w:iCs/>
        </w:rPr>
        <w:t>Is Using Its Network of 10,000 EV Chargers to Bid Into Wholesale Markets</w:t>
      </w:r>
      <w:r>
        <w:t xml:space="preserve">, Greentech Media, Sept. 25, 2018. </w:t>
      </w:r>
      <w:r w:rsidRPr="007053A9">
        <w:t>https://www.greentechmedia.com/articles/read/emotorwerks-wholesale-markets-ev-charger-network</w:t>
      </w:r>
      <w:r>
        <w:t>.</w:t>
      </w:r>
    </w:p>
  </w:footnote>
  <w:footnote w:id="39">
    <w:p w14:paraId="0C8FBAFB" w14:textId="13460EC2" w:rsidR="009361B0" w:rsidRDefault="009361B0" w:rsidP="009F7A22">
      <w:pPr>
        <w:pStyle w:val="FootnoteText"/>
        <w:ind w:firstLine="0"/>
      </w:pPr>
      <w:r>
        <w:rPr>
          <w:rStyle w:val="FootnoteReference"/>
        </w:rPr>
        <w:footnoteRef/>
      </w:r>
      <w:r>
        <w:t xml:space="preserve">  </w:t>
      </w:r>
      <w:r>
        <w:rPr>
          <w:i/>
          <w:iCs/>
        </w:rPr>
        <w:t>Id.</w:t>
      </w:r>
    </w:p>
  </w:footnote>
  <w:footnote w:id="40">
    <w:p w14:paraId="0104E510" w14:textId="01B0E3D3" w:rsidR="009361B0" w:rsidRDefault="009361B0" w:rsidP="009F7A22">
      <w:pPr>
        <w:pStyle w:val="FootnoteText"/>
        <w:ind w:firstLine="0"/>
      </w:pPr>
      <w:r>
        <w:rPr>
          <w:rStyle w:val="FootnoteReference"/>
        </w:rPr>
        <w:footnoteRef/>
      </w:r>
      <w:r>
        <w:t xml:space="preserve">  Jonathan Coignard, et al, </w:t>
      </w:r>
      <w:r w:rsidRPr="009F7A22">
        <w:rPr>
          <w:i/>
          <w:iCs/>
        </w:rPr>
        <w:t>Will Electric Vehicles Drive Distribution Grid Upgrades?</w:t>
      </w:r>
      <w:r>
        <w:t xml:space="preserve"> IEEE Electrification Magazine (June 2019) at 49-50 (</w:t>
      </w:r>
      <w:r w:rsidRPr="003B0237">
        <w:t>https://ieeexplore.ieee.org/document/8732007</w:t>
      </w:r>
      <w:r>
        <w:t>).</w:t>
      </w:r>
    </w:p>
  </w:footnote>
  <w:footnote w:id="41">
    <w:p w14:paraId="33D43AEE" w14:textId="7A20C3BB" w:rsidR="009361B0" w:rsidRDefault="009361B0" w:rsidP="009F7A22">
      <w:pPr>
        <w:pStyle w:val="FootnoteText"/>
        <w:ind w:firstLine="0"/>
      </w:pPr>
      <w:r>
        <w:rPr>
          <w:rStyle w:val="FootnoteReference"/>
        </w:rPr>
        <w:footnoteRef/>
      </w:r>
      <w:r>
        <w:t xml:space="preserve">  This issue was considered by the Demand Side Working Group in 2011-2014.</w:t>
      </w:r>
    </w:p>
  </w:footnote>
  <w:footnote w:id="42">
    <w:p w14:paraId="6FE58511" w14:textId="5601D1F9" w:rsidR="009361B0" w:rsidRDefault="009361B0" w:rsidP="009F7A22">
      <w:pPr>
        <w:pStyle w:val="FootnoteText"/>
        <w:ind w:firstLine="0"/>
        <w:jc w:val="both"/>
      </w:pPr>
      <w:r>
        <w:rPr>
          <w:rStyle w:val="FootnoteReference"/>
        </w:rPr>
        <w:footnoteRef/>
      </w:r>
      <w:r>
        <w:t xml:space="preserve">  See NPRR 555, </w:t>
      </w:r>
      <w:r w:rsidRPr="00686537">
        <w:t xml:space="preserve">Load </w:t>
      </w:r>
      <w:r w:rsidRPr="00D01B06">
        <w:t xml:space="preserve">Resource Participation in Security-Constrained Economic Dispatch (adopted July 3, 2003). </w:t>
      </w:r>
      <w:hyperlink r:id="rId18" w:history="1">
        <w:r w:rsidRPr="00D01B06">
          <w:rPr>
            <w:rStyle w:val="Hyperlink"/>
            <w:color w:val="auto"/>
            <w:u w:val="none"/>
          </w:rPr>
          <w:t>http://www.ercot.com/mktrules/issues/NPRR555</w:t>
        </w:r>
      </w:hyperlink>
      <w:r w:rsidRPr="00D01B06">
        <w:t xml:space="preserve">.  </w:t>
      </w:r>
    </w:p>
  </w:footnote>
  <w:footnote w:id="43">
    <w:p w14:paraId="532EC2E4" w14:textId="1EE123BD" w:rsidR="009361B0" w:rsidRDefault="009361B0" w:rsidP="009F7A22">
      <w:pPr>
        <w:pStyle w:val="FootnoteText"/>
        <w:ind w:firstLine="0"/>
        <w:jc w:val="both"/>
      </w:pPr>
      <w:r>
        <w:rPr>
          <w:rStyle w:val="FootnoteReference"/>
        </w:rPr>
        <w:footnoteRef/>
      </w:r>
      <w:r>
        <w:t xml:space="preserve">  The fact that Nissan will allow this activity is a key factor in supporting the development of EV to home programs in Japan.</w:t>
      </w:r>
    </w:p>
  </w:footnote>
  <w:footnote w:id="44">
    <w:p w14:paraId="7BEC4410" w14:textId="0716DAE6" w:rsidR="009361B0" w:rsidRPr="00577F32" w:rsidRDefault="009361B0" w:rsidP="00774431">
      <w:pPr>
        <w:pStyle w:val="Normal1"/>
        <w:spacing w:line="240" w:lineRule="auto"/>
        <w:rPr>
          <w:rFonts w:ascii="Times New Roman" w:hAnsi="Times New Roman" w:cs="Times New Roman"/>
          <w:sz w:val="20"/>
          <w:szCs w:val="20"/>
        </w:rPr>
      </w:pPr>
      <w:r w:rsidRPr="00577F32">
        <w:rPr>
          <w:rFonts w:ascii="Times New Roman" w:hAnsi="Times New Roman" w:cs="Times New Roman"/>
          <w:sz w:val="20"/>
          <w:szCs w:val="20"/>
          <w:vertAlign w:val="superscript"/>
        </w:rPr>
        <w:footnoteRef/>
      </w:r>
      <w:r w:rsidR="00D01B06">
        <w:rPr>
          <w:rFonts w:ascii="Times New Roman" w:hAnsi="Times New Roman" w:cs="Times New Roman"/>
          <w:sz w:val="20"/>
          <w:szCs w:val="20"/>
        </w:rPr>
        <w:t xml:space="preserve"> </w:t>
      </w:r>
      <w:r w:rsidRPr="00577F32">
        <w:rPr>
          <w:rFonts w:ascii="Times New Roman" w:hAnsi="Times New Roman" w:cs="Times New Roman"/>
          <w:sz w:val="20"/>
          <w:szCs w:val="20"/>
        </w:rPr>
        <w:t xml:space="preserve"> E</w:t>
      </w:r>
      <w:r>
        <w:rPr>
          <w:rFonts w:ascii="Times New Roman" w:hAnsi="Times New Roman" w:cs="Times New Roman"/>
          <w:sz w:val="20"/>
          <w:szCs w:val="20"/>
        </w:rPr>
        <w:t>RCOT</w:t>
      </w:r>
      <w:r w:rsidRPr="00577F32">
        <w:rPr>
          <w:rFonts w:ascii="Times New Roman" w:hAnsi="Times New Roman" w:cs="Times New Roman"/>
          <w:sz w:val="20"/>
          <w:szCs w:val="20"/>
        </w:rPr>
        <w:t>’s 2033 Long Term System Analysis June 2018 draft suggestions in its emerging technology scenario.</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066085"/>
    <w:multiLevelType w:val="hybridMultilevel"/>
    <w:tmpl w:val="8F2C269A"/>
    <w:lvl w:ilvl="0" w:tplc="A2F8ADD6">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32775D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79C7470"/>
    <w:multiLevelType w:val="hybridMultilevel"/>
    <w:tmpl w:val="87B83E50"/>
    <w:lvl w:ilvl="0" w:tplc="A38A5E12">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9017CCF"/>
    <w:multiLevelType w:val="multilevel"/>
    <w:tmpl w:val="D1B6BB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1B55F3C"/>
    <w:multiLevelType w:val="hybridMultilevel"/>
    <w:tmpl w:val="844E2C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28341478"/>
    <w:multiLevelType w:val="hybridMultilevel"/>
    <w:tmpl w:val="D7383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4AA2734"/>
    <w:multiLevelType w:val="hybridMultilevel"/>
    <w:tmpl w:val="92A2B60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62F4260"/>
    <w:multiLevelType w:val="hybridMultilevel"/>
    <w:tmpl w:val="2E0AB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112E64"/>
    <w:multiLevelType w:val="hybridMultilevel"/>
    <w:tmpl w:val="9A2E6B5E"/>
    <w:lvl w:ilvl="0" w:tplc="26667E16">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15:restartNumberingAfterBreak="0">
    <w:nsid w:val="5233459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55BC49CD"/>
    <w:multiLevelType w:val="hybridMultilevel"/>
    <w:tmpl w:val="2926F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69E0803"/>
    <w:multiLevelType w:val="hybridMultilevel"/>
    <w:tmpl w:val="532ACA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66DB2023"/>
    <w:multiLevelType w:val="hybridMultilevel"/>
    <w:tmpl w:val="7152E90A"/>
    <w:lvl w:ilvl="0" w:tplc="04090001">
      <w:start w:val="1"/>
      <w:numFmt w:val="bullet"/>
      <w:lvlText w:val=""/>
      <w:lvlJc w:val="left"/>
      <w:pPr>
        <w:ind w:left="3888" w:hanging="504"/>
      </w:pPr>
      <w:rPr>
        <w:rFonts w:ascii="Symbol" w:hAnsi="Symbol" w:hint="default"/>
        <w:b w:val="0"/>
      </w:rPr>
    </w:lvl>
    <w:lvl w:ilvl="1" w:tplc="04090003">
      <w:start w:val="1"/>
      <w:numFmt w:val="bullet"/>
      <w:lvlText w:val="o"/>
      <w:lvlJc w:val="left"/>
      <w:pPr>
        <w:ind w:left="4464" w:hanging="360"/>
      </w:pPr>
      <w:rPr>
        <w:rFonts w:ascii="Courier New" w:hAnsi="Courier New" w:cs="Courier New" w:hint="default"/>
      </w:rPr>
    </w:lvl>
    <w:lvl w:ilvl="2" w:tplc="04090005">
      <w:start w:val="1"/>
      <w:numFmt w:val="bullet"/>
      <w:lvlText w:val=""/>
      <w:lvlJc w:val="left"/>
      <w:pPr>
        <w:ind w:left="5184" w:hanging="360"/>
      </w:pPr>
      <w:rPr>
        <w:rFonts w:ascii="Wingdings" w:hAnsi="Wingdings" w:hint="default"/>
      </w:rPr>
    </w:lvl>
    <w:lvl w:ilvl="3" w:tplc="04090001" w:tentative="1">
      <w:start w:val="1"/>
      <w:numFmt w:val="bullet"/>
      <w:lvlText w:val=""/>
      <w:lvlJc w:val="left"/>
      <w:pPr>
        <w:ind w:left="5904" w:hanging="360"/>
      </w:pPr>
      <w:rPr>
        <w:rFonts w:ascii="Symbol" w:hAnsi="Symbol" w:hint="default"/>
      </w:rPr>
    </w:lvl>
    <w:lvl w:ilvl="4" w:tplc="04090003" w:tentative="1">
      <w:start w:val="1"/>
      <w:numFmt w:val="bullet"/>
      <w:lvlText w:val="o"/>
      <w:lvlJc w:val="left"/>
      <w:pPr>
        <w:ind w:left="6624" w:hanging="360"/>
      </w:pPr>
      <w:rPr>
        <w:rFonts w:ascii="Courier New" w:hAnsi="Courier New" w:cs="Courier New" w:hint="default"/>
      </w:rPr>
    </w:lvl>
    <w:lvl w:ilvl="5" w:tplc="04090005" w:tentative="1">
      <w:start w:val="1"/>
      <w:numFmt w:val="bullet"/>
      <w:lvlText w:val=""/>
      <w:lvlJc w:val="left"/>
      <w:pPr>
        <w:ind w:left="7344" w:hanging="360"/>
      </w:pPr>
      <w:rPr>
        <w:rFonts w:ascii="Wingdings" w:hAnsi="Wingdings" w:hint="default"/>
      </w:rPr>
    </w:lvl>
    <w:lvl w:ilvl="6" w:tplc="04090001" w:tentative="1">
      <w:start w:val="1"/>
      <w:numFmt w:val="bullet"/>
      <w:lvlText w:val=""/>
      <w:lvlJc w:val="left"/>
      <w:pPr>
        <w:ind w:left="8064" w:hanging="360"/>
      </w:pPr>
      <w:rPr>
        <w:rFonts w:ascii="Symbol" w:hAnsi="Symbol" w:hint="default"/>
      </w:rPr>
    </w:lvl>
    <w:lvl w:ilvl="7" w:tplc="04090003" w:tentative="1">
      <w:start w:val="1"/>
      <w:numFmt w:val="bullet"/>
      <w:lvlText w:val="o"/>
      <w:lvlJc w:val="left"/>
      <w:pPr>
        <w:ind w:left="8784" w:hanging="360"/>
      </w:pPr>
      <w:rPr>
        <w:rFonts w:ascii="Courier New" w:hAnsi="Courier New" w:cs="Courier New" w:hint="default"/>
      </w:rPr>
    </w:lvl>
    <w:lvl w:ilvl="8" w:tplc="04090005" w:tentative="1">
      <w:start w:val="1"/>
      <w:numFmt w:val="bullet"/>
      <w:lvlText w:val=""/>
      <w:lvlJc w:val="left"/>
      <w:pPr>
        <w:ind w:left="9504" w:hanging="360"/>
      </w:pPr>
      <w:rPr>
        <w:rFonts w:ascii="Wingdings" w:hAnsi="Wingdings" w:hint="default"/>
      </w:rPr>
    </w:lvl>
  </w:abstractNum>
  <w:abstractNum w:abstractNumId="13" w15:restartNumberingAfterBreak="0">
    <w:nsid w:val="67AC0F03"/>
    <w:multiLevelType w:val="hybridMultilevel"/>
    <w:tmpl w:val="E6D66186"/>
    <w:lvl w:ilvl="0" w:tplc="04090017">
      <w:start w:val="1"/>
      <w:numFmt w:val="lowerLetter"/>
      <w:lvlText w:val="%1)"/>
      <w:lvlJc w:val="left"/>
      <w:pPr>
        <w:ind w:left="1170" w:hanging="360"/>
      </w:pPr>
      <w:rPr>
        <w:rFonts w:hint="default"/>
      </w:rPr>
    </w:lvl>
    <w:lvl w:ilvl="1" w:tplc="04090019">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4" w15:restartNumberingAfterBreak="0">
    <w:nsid w:val="74A81533"/>
    <w:multiLevelType w:val="hybridMultilevel"/>
    <w:tmpl w:val="F33CDD7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7D474F7A"/>
    <w:multiLevelType w:val="multilevel"/>
    <w:tmpl w:val="D1B6BB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4"/>
  </w:num>
  <w:num w:numId="2">
    <w:abstractNumId w:val="13"/>
  </w:num>
  <w:num w:numId="3">
    <w:abstractNumId w:val="9"/>
  </w:num>
  <w:num w:numId="4">
    <w:abstractNumId w:val="9"/>
  </w:num>
  <w:num w:numId="5">
    <w:abstractNumId w:val="1"/>
  </w:num>
  <w:num w:numId="6">
    <w:abstractNumId w:val="7"/>
  </w:num>
  <w:num w:numId="7">
    <w:abstractNumId w:val="8"/>
  </w:num>
  <w:num w:numId="8">
    <w:abstractNumId w:val="12"/>
  </w:num>
  <w:num w:numId="9">
    <w:abstractNumId w:val="2"/>
  </w:num>
  <w:num w:numId="10">
    <w:abstractNumId w:val="5"/>
  </w:num>
  <w:num w:numId="11">
    <w:abstractNumId w:val="10"/>
  </w:num>
  <w:num w:numId="12">
    <w:abstractNumId w:val="6"/>
  </w:num>
  <w:num w:numId="13">
    <w:abstractNumId w:val="0"/>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15"/>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716A"/>
    <w:rsid w:val="00013402"/>
    <w:rsid w:val="0001716A"/>
    <w:rsid w:val="00022147"/>
    <w:rsid w:val="00052B0A"/>
    <w:rsid w:val="0006283C"/>
    <w:rsid w:val="000641E0"/>
    <w:rsid w:val="0007776D"/>
    <w:rsid w:val="000B4348"/>
    <w:rsid w:val="000B5BFC"/>
    <w:rsid w:val="000C3DC1"/>
    <w:rsid w:val="000C616E"/>
    <w:rsid w:val="000D24FA"/>
    <w:rsid w:val="000D7AA4"/>
    <w:rsid w:val="000E0060"/>
    <w:rsid w:val="000F0A33"/>
    <w:rsid w:val="000F2D19"/>
    <w:rsid w:val="0010537C"/>
    <w:rsid w:val="00106054"/>
    <w:rsid w:val="00126C71"/>
    <w:rsid w:val="00134877"/>
    <w:rsid w:val="00135471"/>
    <w:rsid w:val="00135F7C"/>
    <w:rsid w:val="001413B0"/>
    <w:rsid w:val="00146CBC"/>
    <w:rsid w:val="001563ED"/>
    <w:rsid w:val="001575A4"/>
    <w:rsid w:val="00167FA2"/>
    <w:rsid w:val="001831A1"/>
    <w:rsid w:val="001A0D95"/>
    <w:rsid w:val="001A30C9"/>
    <w:rsid w:val="001A6BB3"/>
    <w:rsid w:val="001D048F"/>
    <w:rsid w:val="001D69BA"/>
    <w:rsid w:val="001E1985"/>
    <w:rsid w:val="001E35E9"/>
    <w:rsid w:val="001E4A2A"/>
    <w:rsid w:val="001F1F5B"/>
    <w:rsid w:val="001F2BF2"/>
    <w:rsid w:val="001F4346"/>
    <w:rsid w:val="001F5230"/>
    <w:rsid w:val="001F76AB"/>
    <w:rsid w:val="002177CB"/>
    <w:rsid w:val="002247CE"/>
    <w:rsid w:val="002254DB"/>
    <w:rsid w:val="002307A9"/>
    <w:rsid w:val="0023729B"/>
    <w:rsid w:val="00241C40"/>
    <w:rsid w:val="00247916"/>
    <w:rsid w:val="00262991"/>
    <w:rsid w:val="002725FC"/>
    <w:rsid w:val="00273038"/>
    <w:rsid w:val="00283AC8"/>
    <w:rsid w:val="00293434"/>
    <w:rsid w:val="00296264"/>
    <w:rsid w:val="0029646E"/>
    <w:rsid w:val="002B6949"/>
    <w:rsid w:val="002B6CE7"/>
    <w:rsid w:val="002B7FC9"/>
    <w:rsid w:val="002C1BB6"/>
    <w:rsid w:val="002C7CD3"/>
    <w:rsid w:val="002E0ADA"/>
    <w:rsid w:val="002E3D12"/>
    <w:rsid w:val="002E5CF0"/>
    <w:rsid w:val="002F141A"/>
    <w:rsid w:val="002F228B"/>
    <w:rsid w:val="002F56EC"/>
    <w:rsid w:val="00327EA2"/>
    <w:rsid w:val="00341373"/>
    <w:rsid w:val="00347078"/>
    <w:rsid w:val="00360B3D"/>
    <w:rsid w:val="0036376C"/>
    <w:rsid w:val="003677B0"/>
    <w:rsid w:val="00380906"/>
    <w:rsid w:val="0038127E"/>
    <w:rsid w:val="00382ED6"/>
    <w:rsid w:val="0039218C"/>
    <w:rsid w:val="003976EF"/>
    <w:rsid w:val="003A1205"/>
    <w:rsid w:val="003B75B0"/>
    <w:rsid w:val="003C0B8A"/>
    <w:rsid w:val="003C40CA"/>
    <w:rsid w:val="003C4B04"/>
    <w:rsid w:val="003C4E88"/>
    <w:rsid w:val="003F3F56"/>
    <w:rsid w:val="00407106"/>
    <w:rsid w:val="00412BBE"/>
    <w:rsid w:val="0041611D"/>
    <w:rsid w:val="00424E08"/>
    <w:rsid w:val="00425786"/>
    <w:rsid w:val="00430920"/>
    <w:rsid w:val="00446485"/>
    <w:rsid w:val="00450F78"/>
    <w:rsid w:val="0046116D"/>
    <w:rsid w:val="004622FA"/>
    <w:rsid w:val="0046549D"/>
    <w:rsid w:val="00475586"/>
    <w:rsid w:val="00491224"/>
    <w:rsid w:val="004B282F"/>
    <w:rsid w:val="004B490D"/>
    <w:rsid w:val="004C6EB4"/>
    <w:rsid w:val="004D4E2F"/>
    <w:rsid w:val="004F0464"/>
    <w:rsid w:val="0051214E"/>
    <w:rsid w:val="005156BA"/>
    <w:rsid w:val="00515F18"/>
    <w:rsid w:val="005175ED"/>
    <w:rsid w:val="0052301E"/>
    <w:rsid w:val="00532307"/>
    <w:rsid w:val="00536831"/>
    <w:rsid w:val="00537B64"/>
    <w:rsid w:val="00545B9B"/>
    <w:rsid w:val="005533FC"/>
    <w:rsid w:val="00555B45"/>
    <w:rsid w:val="005632DC"/>
    <w:rsid w:val="00566785"/>
    <w:rsid w:val="005702B5"/>
    <w:rsid w:val="00577F32"/>
    <w:rsid w:val="00596EFC"/>
    <w:rsid w:val="005B578B"/>
    <w:rsid w:val="005B7959"/>
    <w:rsid w:val="005C18D7"/>
    <w:rsid w:val="005C50EC"/>
    <w:rsid w:val="005D7278"/>
    <w:rsid w:val="005E39F2"/>
    <w:rsid w:val="006014E2"/>
    <w:rsid w:val="00616682"/>
    <w:rsid w:val="00617DBD"/>
    <w:rsid w:val="00624EBE"/>
    <w:rsid w:val="00626D1A"/>
    <w:rsid w:val="006353D3"/>
    <w:rsid w:val="00645BF9"/>
    <w:rsid w:val="00657A85"/>
    <w:rsid w:val="00681CBF"/>
    <w:rsid w:val="00690B64"/>
    <w:rsid w:val="00691E1C"/>
    <w:rsid w:val="006A3E06"/>
    <w:rsid w:val="006B0CD2"/>
    <w:rsid w:val="006B234B"/>
    <w:rsid w:val="006B6B04"/>
    <w:rsid w:val="006C182E"/>
    <w:rsid w:val="006D6C01"/>
    <w:rsid w:val="006E0CAF"/>
    <w:rsid w:val="006E441C"/>
    <w:rsid w:val="006E564D"/>
    <w:rsid w:val="006E5A90"/>
    <w:rsid w:val="006F6971"/>
    <w:rsid w:val="0071243E"/>
    <w:rsid w:val="007178A6"/>
    <w:rsid w:val="00717B1C"/>
    <w:rsid w:val="00733198"/>
    <w:rsid w:val="00743DAE"/>
    <w:rsid w:val="0074643B"/>
    <w:rsid w:val="00747A32"/>
    <w:rsid w:val="00752143"/>
    <w:rsid w:val="00770754"/>
    <w:rsid w:val="00774431"/>
    <w:rsid w:val="007744AA"/>
    <w:rsid w:val="007778E1"/>
    <w:rsid w:val="00780673"/>
    <w:rsid w:val="00780840"/>
    <w:rsid w:val="00782EC8"/>
    <w:rsid w:val="00787EF5"/>
    <w:rsid w:val="00795E64"/>
    <w:rsid w:val="007B2B38"/>
    <w:rsid w:val="007C1D9A"/>
    <w:rsid w:val="007C5C6C"/>
    <w:rsid w:val="007E158F"/>
    <w:rsid w:val="007F3606"/>
    <w:rsid w:val="008155E3"/>
    <w:rsid w:val="0081736F"/>
    <w:rsid w:val="00822BEC"/>
    <w:rsid w:val="0082542F"/>
    <w:rsid w:val="00834A70"/>
    <w:rsid w:val="00846B88"/>
    <w:rsid w:val="00852CAD"/>
    <w:rsid w:val="0085454E"/>
    <w:rsid w:val="008555AB"/>
    <w:rsid w:val="00861959"/>
    <w:rsid w:val="00862F4F"/>
    <w:rsid w:val="00863982"/>
    <w:rsid w:val="0087258B"/>
    <w:rsid w:val="00875D70"/>
    <w:rsid w:val="0089472E"/>
    <w:rsid w:val="008A02D2"/>
    <w:rsid w:val="008A48B7"/>
    <w:rsid w:val="008A4F3C"/>
    <w:rsid w:val="008A73F8"/>
    <w:rsid w:val="008B173B"/>
    <w:rsid w:val="008E01EC"/>
    <w:rsid w:val="008E154D"/>
    <w:rsid w:val="008F2E45"/>
    <w:rsid w:val="008F7A23"/>
    <w:rsid w:val="00900F6B"/>
    <w:rsid w:val="00905B3A"/>
    <w:rsid w:val="00914DE9"/>
    <w:rsid w:val="00927C11"/>
    <w:rsid w:val="009361B0"/>
    <w:rsid w:val="00952C18"/>
    <w:rsid w:val="009600B1"/>
    <w:rsid w:val="00971EAF"/>
    <w:rsid w:val="009958E7"/>
    <w:rsid w:val="00997F97"/>
    <w:rsid w:val="009A2B4C"/>
    <w:rsid w:val="009B0504"/>
    <w:rsid w:val="009C15C8"/>
    <w:rsid w:val="009C2724"/>
    <w:rsid w:val="009D7738"/>
    <w:rsid w:val="009E0047"/>
    <w:rsid w:val="009F0940"/>
    <w:rsid w:val="009F6495"/>
    <w:rsid w:val="009F671A"/>
    <w:rsid w:val="009F7A22"/>
    <w:rsid w:val="00A000E3"/>
    <w:rsid w:val="00A03752"/>
    <w:rsid w:val="00A0770D"/>
    <w:rsid w:val="00A20777"/>
    <w:rsid w:val="00A213CF"/>
    <w:rsid w:val="00A25DBB"/>
    <w:rsid w:val="00A26671"/>
    <w:rsid w:val="00A467A2"/>
    <w:rsid w:val="00A46C11"/>
    <w:rsid w:val="00A5211C"/>
    <w:rsid w:val="00A52629"/>
    <w:rsid w:val="00A62B1B"/>
    <w:rsid w:val="00A646C6"/>
    <w:rsid w:val="00A860CF"/>
    <w:rsid w:val="00A95779"/>
    <w:rsid w:val="00AA4801"/>
    <w:rsid w:val="00AB06E4"/>
    <w:rsid w:val="00AB191D"/>
    <w:rsid w:val="00AC64F6"/>
    <w:rsid w:val="00AD764D"/>
    <w:rsid w:val="00AE2240"/>
    <w:rsid w:val="00AF375D"/>
    <w:rsid w:val="00AF551C"/>
    <w:rsid w:val="00B31124"/>
    <w:rsid w:val="00B3302D"/>
    <w:rsid w:val="00B46E61"/>
    <w:rsid w:val="00B518FA"/>
    <w:rsid w:val="00B542C1"/>
    <w:rsid w:val="00B6159B"/>
    <w:rsid w:val="00B73FDA"/>
    <w:rsid w:val="00B75E62"/>
    <w:rsid w:val="00B93A97"/>
    <w:rsid w:val="00B94439"/>
    <w:rsid w:val="00B966B5"/>
    <w:rsid w:val="00BA6C84"/>
    <w:rsid w:val="00BC0F96"/>
    <w:rsid w:val="00BC484A"/>
    <w:rsid w:val="00BE36A9"/>
    <w:rsid w:val="00BE734C"/>
    <w:rsid w:val="00BF6C85"/>
    <w:rsid w:val="00C016BA"/>
    <w:rsid w:val="00C05884"/>
    <w:rsid w:val="00C076D4"/>
    <w:rsid w:val="00C26156"/>
    <w:rsid w:val="00C27ACB"/>
    <w:rsid w:val="00C30E72"/>
    <w:rsid w:val="00C41607"/>
    <w:rsid w:val="00C50D41"/>
    <w:rsid w:val="00C55626"/>
    <w:rsid w:val="00C56F47"/>
    <w:rsid w:val="00C8362B"/>
    <w:rsid w:val="00C84954"/>
    <w:rsid w:val="00C944B5"/>
    <w:rsid w:val="00C965EB"/>
    <w:rsid w:val="00CA3B01"/>
    <w:rsid w:val="00CA50A0"/>
    <w:rsid w:val="00CA69C9"/>
    <w:rsid w:val="00CB0994"/>
    <w:rsid w:val="00CB12C6"/>
    <w:rsid w:val="00CB2C15"/>
    <w:rsid w:val="00CC0095"/>
    <w:rsid w:val="00CC3CE2"/>
    <w:rsid w:val="00CC6742"/>
    <w:rsid w:val="00CC6F3E"/>
    <w:rsid w:val="00CD64AD"/>
    <w:rsid w:val="00CE4803"/>
    <w:rsid w:val="00CF7F72"/>
    <w:rsid w:val="00D01B06"/>
    <w:rsid w:val="00D040E2"/>
    <w:rsid w:val="00D43B72"/>
    <w:rsid w:val="00D43FF1"/>
    <w:rsid w:val="00D4504D"/>
    <w:rsid w:val="00D549ED"/>
    <w:rsid w:val="00D62A16"/>
    <w:rsid w:val="00D71FFF"/>
    <w:rsid w:val="00D77055"/>
    <w:rsid w:val="00D8268F"/>
    <w:rsid w:val="00DC3865"/>
    <w:rsid w:val="00DD522C"/>
    <w:rsid w:val="00DD7E5F"/>
    <w:rsid w:val="00DE6334"/>
    <w:rsid w:val="00DF7DC3"/>
    <w:rsid w:val="00E01E2B"/>
    <w:rsid w:val="00E10B0C"/>
    <w:rsid w:val="00E137B9"/>
    <w:rsid w:val="00E15F0A"/>
    <w:rsid w:val="00E20270"/>
    <w:rsid w:val="00E300F4"/>
    <w:rsid w:val="00E53469"/>
    <w:rsid w:val="00E676B4"/>
    <w:rsid w:val="00E72395"/>
    <w:rsid w:val="00E962CE"/>
    <w:rsid w:val="00EA0E22"/>
    <w:rsid w:val="00EA4E99"/>
    <w:rsid w:val="00EB45E0"/>
    <w:rsid w:val="00EC14B6"/>
    <w:rsid w:val="00EC774A"/>
    <w:rsid w:val="00ED3174"/>
    <w:rsid w:val="00ED3AAD"/>
    <w:rsid w:val="00ED61C5"/>
    <w:rsid w:val="00ED65E5"/>
    <w:rsid w:val="00F0603A"/>
    <w:rsid w:val="00F60C59"/>
    <w:rsid w:val="00F82776"/>
    <w:rsid w:val="00F873A0"/>
    <w:rsid w:val="00F92E64"/>
    <w:rsid w:val="00FC52E9"/>
    <w:rsid w:val="00FC6F87"/>
    <w:rsid w:val="00FD0913"/>
    <w:rsid w:val="00FE0E92"/>
    <w:rsid w:val="00FE377C"/>
    <w:rsid w:val="00FE5E24"/>
    <w:rsid w:val="00FF31FF"/>
    <w:rsid w:val="00FF5E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84538D"/>
  <w15:chartTrackingRefBased/>
  <w15:docId w15:val="{1CFF89BF-081C-4569-9358-39CFA939F7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1C40"/>
    <w:pPr>
      <w:spacing w:after="0" w:line="480" w:lineRule="auto"/>
      <w:ind w:firstLine="720"/>
    </w:pPr>
    <w:rPr>
      <w:rFonts w:ascii="Times New Roman" w:hAnsi="Times New Roman"/>
      <w:sz w:val="24"/>
    </w:rPr>
  </w:style>
  <w:style w:type="paragraph" w:styleId="Heading1">
    <w:name w:val="heading 1"/>
    <w:basedOn w:val="Normal"/>
    <w:next w:val="Normal"/>
    <w:link w:val="Heading1Char"/>
    <w:autoRedefine/>
    <w:uiPriority w:val="9"/>
    <w:qFormat/>
    <w:rsid w:val="00AD764D"/>
    <w:pPr>
      <w:keepNext/>
      <w:keepLines/>
      <w:shd w:val="clear" w:color="auto" w:fill="FCFCFC"/>
      <w:spacing w:line="240" w:lineRule="auto"/>
      <w:ind w:firstLine="0"/>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2725FC"/>
    <w:pPr>
      <w:keepNext/>
      <w:keepLines/>
      <w:ind w:firstLine="0"/>
      <w:outlineLvl w:val="1"/>
    </w:pPr>
    <w:rPr>
      <w:rFonts w:eastAsiaTheme="majorEastAsia" w:cstheme="majorBidi"/>
      <w:b/>
      <w:szCs w:val="26"/>
    </w:rPr>
  </w:style>
  <w:style w:type="paragraph" w:styleId="Heading3">
    <w:name w:val="heading 3"/>
    <w:basedOn w:val="Normal"/>
    <w:next w:val="Normal"/>
    <w:link w:val="Heading3Char"/>
    <w:uiPriority w:val="9"/>
    <w:semiHidden/>
    <w:unhideWhenUsed/>
    <w:qFormat/>
    <w:rsid w:val="00733198"/>
    <w:pPr>
      <w:keepNext/>
      <w:keepLines/>
      <w:spacing w:before="40"/>
      <w:ind w:firstLine="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semiHidden/>
    <w:unhideWhenUsed/>
    <w:qFormat/>
    <w:rsid w:val="00733198"/>
    <w:pPr>
      <w:keepNext/>
      <w:keepLines/>
      <w:spacing w:before="40"/>
      <w:ind w:firstLine="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733198"/>
    <w:pPr>
      <w:keepNext/>
      <w:keepLines/>
      <w:spacing w:before="40"/>
      <w:ind w:firstLine="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733198"/>
    <w:pPr>
      <w:keepNext/>
      <w:keepLines/>
      <w:spacing w:before="40"/>
      <w:ind w:firstLine="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733198"/>
    <w:pPr>
      <w:keepNext/>
      <w:keepLines/>
      <w:spacing w:before="40"/>
      <w:ind w:firstLine="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733198"/>
    <w:pPr>
      <w:keepNext/>
      <w:keepLines/>
      <w:spacing w:before="40"/>
      <w:ind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33198"/>
    <w:pPr>
      <w:keepNext/>
      <w:keepLines/>
      <w:spacing w:before="40"/>
      <w:ind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1716A"/>
    <w:pPr>
      <w:ind w:left="720"/>
      <w:contextualSpacing/>
    </w:pPr>
  </w:style>
  <w:style w:type="character" w:styleId="PlaceholderText">
    <w:name w:val="Placeholder Text"/>
    <w:basedOn w:val="DefaultParagraphFont"/>
    <w:uiPriority w:val="99"/>
    <w:semiHidden/>
    <w:rsid w:val="00A0770D"/>
    <w:rPr>
      <w:color w:val="808080"/>
    </w:rPr>
  </w:style>
  <w:style w:type="paragraph" w:styleId="EndnoteText">
    <w:name w:val="endnote text"/>
    <w:basedOn w:val="Normal"/>
    <w:link w:val="EndnoteTextChar"/>
    <w:uiPriority w:val="99"/>
    <w:semiHidden/>
    <w:unhideWhenUsed/>
    <w:rsid w:val="00875D70"/>
    <w:pPr>
      <w:spacing w:line="240" w:lineRule="auto"/>
    </w:pPr>
    <w:rPr>
      <w:sz w:val="20"/>
      <w:szCs w:val="20"/>
    </w:rPr>
  </w:style>
  <w:style w:type="character" w:customStyle="1" w:styleId="EndnoteTextChar">
    <w:name w:val="Endnote Text Char"/>
    <w:basedOn w:val="DefaultParagraphFont"/>
    <w:link w:val="EndnoteText"/>
    <w:uiPriority w:val="99"/>
    <w:semiHidden/>
    <w:rsid w:val="00875D70"/>
    <w:rPr>
      <w:sz w:val="20"/>
      <w:szCs w:val="20"/>
    </w:rPr>
  </w:style>
  <w:style w:type="character" w:styleId="EndnoteReference">
    <w:name w:val="endnote reference"/>
    <w:basedOn w:val="DefaultParagraphFont"/>
    <w:uiPriority w:val="99"/>
    <w:semiHidden/>
    <w:unhideWhenUsed/>
    <w:rsid w:val="00875D70"/>
    <w:rPr>
      <w:vertAlign w:val="superscript"/>
    </w:rPr>
  </w:style>
  <w:style w:type="paragraph" w:styleId="BalloonText">
    <w:name w:val="Balloon Text"/>
    <w:basedOn w:val="Normal"/>
    <w:link w:val="BalloonTextChar"/>
    <w:uiPriority w:val="99"/>
    <w:semiHidden/>
    <w:unhideWhenUsed/>
    <w:rsid w:val="001F5230"/>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F5230"/>
    <w:rPr>
      <w:rFonts w:ascii="Segoe UI" w:hAnsi="Segoe UI" w:cs="Segoe UI"/>
      <w:sz w:val="18"/>
      <w:szCs w:val="18"/>
    </w:rPr>
  </w:style>
  <w:style w:type="character" w:styleId="CommentReference">
    <w:name w:val="annotation reference"/>
    <w:basedOn w:val="DefaultParagraphFont"/>
    <w:uiPriority w:val="99"/>
    <w:semiHidden/>
    <w:unhideWhenUsed/>
    <w:rsid w:val="001F5230"/>
    <w:rPr>
      <w:sz w:val="16"/>
      <w:szCs w:val="16"/>
    </w:rPr>
  </w:style>
  <w:style w:type="paragraph" w:styleId="CommentText">
    <w:name w:val="annotation text"/>
    <w:basedOn w:val="Normal"/>
    <w:link w:val="CommentTextChar"/>
    <w:uiPriority w:val="99"/>
    <w:semiHidden/>
    <w:unhideWhenUsed/>
    <w:rsid w:val="001F5230"/>
    <w:pPr>
      <w:spacing w:line="240" w:lineRule="auto"/>
    </w:pPr>
    <w:rPr>
      <w:sz w:val="20"/>
      <w:szCs w:val="20"/>
    </w:rPr>
  </w:style>
  <w:style w:type="character" w:customStyle="1" w:styleId="CommentTextChar">
    <w:name w:val="Comment Text Char"/>
    <w:basedOn w:val="DefaultParagraphFont"/>
    <w:link w:val="CommentText"/>
    <w:uiPriority w:val="99"/>
    <w:semiHidden/>
    <w:rsid w:val="001F5230"/>
    <w:rPr>
      <w:sz w:val="20"/>
      <w:szCs w:val="20"/>
    </w:rPr>
  </w:style>
  <w:style w:type="paragraph" w:styleId="CommentSubject">
    <w:name w:val="annotation subject"/>
    <w:basedOn w:val="CommentText"/>
    <w:next w:val="CommentText"/>
    <w:link w:val="CommentSubjectChar"/>
    <w:uiPriority w:val="99"/>
    <w:semiHidden/>
    <w:unhideWhenUsed/>
    <w:rsid w:val="001F5230"/>
    <w:rPr>
      <w:b/>
      <w:bCs/>
    </w:rPr>
  </w:style>
  <w:style w:type="character" w:customStyle="1" w:styleId="CommentSubjectChar">
    <w:name w:val="Comment Subject Char"/>
    <w:basedOn w:val="CommentTextChar"/>
    <w:link w:val="CommentSubject"/>
    <w:uiPriority w:val="99"/>
    <w:semiHidden/>
    <w:rsid w:val="001F5230"/>
    <w:rPr>
      <w:b/>
      <w:bCs/>
      <w:sz w:val="20"/>
      <w:szCs w:val="20"/>
    </w:rPr>
  </w:style>
  <w:style w:type="paragraph" w:styleId="FootnoteText">
    <w:name w:val="footnote text"/>
    <w:basedOn w:val="Normal"/>
    <w:link w:val="FootnoteTextChar"/>
    <w:uiPriority w:val="99"/>
    <w:unhideWhenUsed/>
    <w:rsid w:val="005632DC"/>
    <w:pPr>
      <w:spacing w:line="240" w:lineRule="auto"/>
    </w:pPr>
    <w:rPr>
      <w:sz w:val="20"/>
      <w:szCs w:val="20"/>
    </w:rPr>
  </w:style>
  <w:style w:type="character" w:customStyle="1" w:styleId="FootnoteTextChar">
    <w:name w:val="Footnote Text Char"/>
    <w:basedOn w:val="DefaultParagraphFont"/>
    <w:link w:val="FootnoteText"/>
    <w:uiPriority w:val="99"/>
    <w:rsid w:val="005632DC"/>
    <w:rPr>
      <w:sz w:val="20"/>
      <w:szCs w:val="20"/>
    </w:rPr>
  </w:style>
  <w:style w:type="character" w:styleId="FootnoteReference">
    <w:name w:val="footnote reference"/>
    <w:basedOn w:val="DefaultParagraphFont"/>
    <w:uiPriority w:val="99"/>
    <w:semiHidden/>
    <w:unhideWhenUsed/>
    <w:rsid w:val="005632DC"/>
    <w:rPr>
      <w:vertAlign w:val="superscript"/>
    </w:rPr>
  </w:style>
  <w:style w:type="paragraph" w:styleId="Header">
    <w:name w:val="header"/>
    <w:basedOn w:val="Normal"/>
    <w:link w:val="HeaderChar"/>
    <w:uiPriority w:val="99"/>
    <w:unhideWhenUsed/>
    <w:rsid w:val="008A4F3C"/>
    <w:pPr>
      <w:tabs>
        <w:tab w:val="center" w:pos="4680"/>
        <w:tab w:val="right" w:pos="9360"/>
      </w:tabs>
      <w:spacing w:line="240" w:lineRule="auto"/>
    </w:pPr>
  </w:style>
  <w:style w:type="character" w:customStyle="1" w:styleId="HeaderChar">
    <w:name w:val="Header Char"/>
    <w:basedOn w:val="DefaultParagraphFont"/>
    <w:link w:val="Header"/>
    <w:uiPriority w:val="99"/>
    <w:rsid w:val="008A4F3C"/>
  </w:style>
  <w:style w:type="paragraph" w:styleId="Footer">
    <w:name w:val="footer"/>
    <w:basedOn w:val="Normal"/>
    <w:link w:val="FooterChar"/>
    <w:uiPriority w:val="99"/>
    <w:unhideWhenUsed/>
    <w:rsid w:val="008A4F3C"/>
    <w:pPr>
      <w:tabs>
        <w:tab w:val="center" w:pos="4680"/>
        <w:tab w:val="right" w:pos="9360"/>
      </w:tabs>
      <w:spacing w:line="240" w:lineRule="auto"/>
    </w:pPr>
  </w:style>
  <w:style w:type="character" w:customStyle="1" w:styleId="FooterChar">
    <w:name w:val="Footer Char"/>
    <w:basedOn w:val="DefaultParagraphFont"/>
    <w:link w:val="Footer"/>
    <w:uiPriority w:val="99"/>
    <w:rsid w:val="008A4F3C"/>
  </w:style>
  <w:style w:type="character" w:styleId="Hyperlink">
    <w:name w:val="Hyperlink"/>
    <w:basedOn w:val="DefaultParagraphFont"/>
    <w:uiPriority w:val="99"/>
    <w:unhideWhenUsed/>
    <w:rsid w:val="008A4F3C"/>
    <w:rPr>
      <w:color w:val="0563C1" w:themeColor="hyperlink"/>
      <w:u w:val="single"/>
    </w:rPr>
  </w:style>
  <w:style w:type="character" w:styleId="UnresolvedMention">
    <w:name w:val="Unresolved Mention"/>
    <w:basedOn w:val="DefaultParagraphFont"/>
    <w:uiPriority w:val="99"/>
    <w:semiHidden/>
    <w:unhideWhenUsed/>
    <w:rsid w:val="008A4F3C"/>
    <w:rPr>
      <w:color w:val="605E5C"/>
      <w:shd w:val="clear" w:color="auto" w:fill="E1DFDD"/>
    </w:rPr>
  </w:style>
  <w:style w:type="character" w:customStyle="1" w:styleId="Heading1Char">
    <w:name w:val="Heading 1 Char"/>
    <w:basedOn w:val="DefaultParagraphFont"/>
    <w:link w:val="Heading1"/>
    <w:uiPriority w:val="9"/>
    <w:rsid w:val="00AD764D"/>
    <w:rPr>
      <w:rFonts w:ascii="Times New Roman" w:eastAsiaTheme="majorEastAsia" w:hAnsi="Times New Roman" w:cstheme="majorBidi"/>
      <w:b/>
      <w:sz w:val="24"/>
      <w:szCs w:val="32"/>
      <w:shd w:val="clear" w:color="auto" w:fill="FCFCFC"/>
    </w:rPr>
  </w:style>
  <w:style w:type="character" w:customStyle="1" w:styleId="Heading2Char">
    <w:name w:val="Heading 2 Char"/>
    <w:basedOn w:val="DefaultParagraphFont"/>
    <w:link w:val="Heading2"/>
    <w:uiPriority w:val="9"/>
    <w:rsid w:val="002725FC"/>
    <w:rPr>
      <w:rFonts w:ascii="Times New Roman" w:eastAsiaTheme="majorEastAsia" w:hAnsi="Times New Roman" w:cstheme="majorBidi"/>
      <w:b/>
      <w:sz w:val="24"/>
      <w:szCs w:val="26"/>
    </w:rPr>
  </w:style>
  <w:style w:type="character" w:customStyle="1" w:styleId="Heading3Char">
    <w:name w:val="Heading 3 Char"/>
    <w:basedOn w:val="DefaultParagraphFont"/>
    <w:link w:val="Heading3"/>
    <w:uiPriority w:val="9"/>
    <w:semiHidden/>
    <w:rsid w:val="0073319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733198"/>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733198"/>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733198"/>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733198"/>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73319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33198"/>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39"/>
    <w:rsid w:val="0036376C"/>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135F7C"/>
    <w:pPr>
      <w:spacing w:after="0" w:line="276" w:lineRule="auto"/>
    </w:pPr>
    <w:rPr>
      <w:rFonts w:ascii="Arial" w:eastAsia="Arial" w:hAnsi="Arial" w:cs="Arial"/>
      <w:lang w:val="en"/>
    </w:rPr>
  </w:style>
  <w:style w:type="paragraph" w:styleId="NormalWeb">
    <w:name w:val="Normal (Web)"/>
    <w:basedOn w:val="Normal"/>
    <w:uiPriority w:val="99"/>
    <w:unhideWhenUsed/>
    <w:rsid w:val="00135F7C"/>
    <w:pPr>
      <w:spacing w:line="276" w:lineRule="auto"/>
      <w:ind w:firstLine="0"/>
    </w:pPr>
    <w:rPr>
      <w:rFonts w:eastAsia="Arial" w:cs="Times New Roman"/>
      <w:szCs w:val="24"/>
      <w:lang w:val="en"/>
    </w:rPr>
  </w:style>
  <w:style w:type="paragraph" w:styleId="NoSpacing">
    <w:name w:val="No Spacing"/>
    <w:link w:val="NoSpacingChar"/>
    <w:uiPriority w:val="1"/>
    <w:qFormat/>
    <w:rsid w:val="00273038"/>
    <w:pPr>
      <w:spacing w:after="0" w:line="240" w:lineRule="auto"/>
    </w:pPr>
    <w:rPr>
      <w:rFonts w:eastAsiaTheme="minorEastAsia"/>
      <w:sz w:val="20"/>
      <w:szCs w:val="20"/>
    </w:rPr>
  </w:style>
  <w:style w:type="character" w:customStyle="1" w:styleId="NoSpacingChar">
    <w:name w:val="No Spacing Char"/>
    <w:basedOn w:val="DefaultParagraphFont"/>
    <w:link w:val="NoSpacing"/>
    <w:uiPriority w:val="1"/>
    <w:rsid w:val="00273038"/>
    <w:rPr>
      <w:rFonts w:eastAsiaTheme="minorEastAsia"/>
      <w:sz w:val="20"/>
      <w:szCs w:val="20"/>
    </w:rPr>
  </w:style>
  <w:style w:type="paragraph" w:styleId="Revision">
    <w:name w:val="Revision"/>
    <w:hidden/>
    <w:uiPriority w:val="99"/>
    <w:semiHidden/>
    <w:rsid w:val="00C05884"/>
    <w:pPr>
      <w:spacing w:after="0" w:line="240" w:lineRule="auto"/>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7842976">
      <w:bodyDiv w:val="1"/>
      <w:marLeft w:val="0"/>
      <w:marRight w:val="0"/>
      <w:marTop w:val="0"/>
      <w:marBottom w:val="0"/>
      <w:divBdr>
        <w:top w:val="none" w:sz="0" w:space="0" w:color="auto"/>
        <w:left w:val="none" w:sz="0" w:space="0" w:color="auto"/>
        <w:bottom w:val="none" w:sz="0" w:space="0" w:color="auto"/>
        <w:right w:val="none" w:sz="0" w:space="0" w:color="auto"/>
      </w:divBdr>
    </w:div>
    <w:div w:id="486821706">
      <w:bodyDiv w:val="1"/>
      <w:marLeft w:val="0"/>
      <w:marRight w:val="0"/>
      <w:marTop w:val="0"/>
      <w:marBottom w:val="0"/>
      <w:divBdr>
        <w:top w:val="none" w:sz="0" w:space="0" w:color="auto"/>
        <w:left w:val="none" w:sz="0" w:space="0" w:color="auto"/>
        <w:bottom w:val="none" w:sz="0" w:space="0" w:color="auto"/>
        <w:right w:val="none" w:sz="0" w:space="0" w:color="auto"/>
      </w:divBdr>
    </w:div>
    <w:div w:id="969433247">
      <w:bodyDiv w:val="1"/>
      <w:marLeft w:val="0"/>
      <w:marRight w:val="0"/>
      <w:marTop w:val="0"/>
      <w:marBottom w:val="0"/>
      <w:divBdr>
        <w:top w:val="none" w:sz="0" w:space="0" w:color="auto"/>
        <w:left w:val="none" w:sz="0" w:space="0" w:color="auto"/>
        <w:bottom w:val="none" w:sz="0" w:space="0" w:color="auto"/>
        <w:right w:val="none" w:sz="0" w:space="0" w:color="auto"/>
      </w:divBdr>
    </w:div>
    <w:div w:id="1106969640">
      <w:bodyDiv w:val="1"/>
      <w:marLeft w:val="0"/>
      <w:marRight w:val="0"/>
      <w:marTop w:val="0"/>
      <w:marBottom w:val="0"/>
      <w:divBdr>
        <w:top w:val="none" w:sz="0" w:space="0" w:color="auto"/>
        <w:left w:val="none" w:sz="0" w:space="0" w:color="auto"/>
        <w:bottom w:val="none" w:sz="0" w:space="0" w:color="auto"/>
        <w:right w:val="none" w:sz="0" w:space="0" w:color="auto"/>
      </w:divBdr>
    </w:div>
    <w:div w:id="1299073963">
      <w:bodyDiv w:val="1"/>
      <w:marLeft w:val="0"/>
      <w:marRight w:val="0"/>
      <w:marTop w:val="0"/>
      <w:marBottom w:val="0"/>
      <w:divBdr>
        <w:top w:val="none" w:sz="0" w:space="0" w:color="auto"/>
        <w:left w:val="none" w:sz="0" w:space="0" w:color="auto"/>
        <w:bottom w:val="none" w:sz="0" w:space="0" w:color="auto"/>
        <w:right w:val="none" w:sz="0" w:space="0" w:color="auto"/>
      </w:divBdr>
    </w:div>
    <w:div w:id="1378433921">
      <w:bodyDiv w:val="1"/>
      <w:marLeft w:val="0"/>
      <w:marRight w:val="0"/>
      <w:marTop w:val="0"/>
      <w:marBottom w:val="0"/>
      <w:divBdr>
        <w:top w:val="none" w:sz="0" w:space="0" w:color="auto"/>
        <w:left w:val="none" w:sz="0" w:space="0" w:color="auto"/>
        <w:bottom w:val="none" w:sz="0" w:space="0" w:color="auto"/>
        <w:right w:val="none" w:sz="0" w:space="0" w:color="auto"/>
      </w:divBdr>
      <w:divsChild>
        <w:div w:id="417100453">
          <w:marLeft w:val="0"/>
          <w:marRight w:val="0"/>
          <w:marTop w:val="0"/>
          <w:marBottom w:val="0"/>
          <w:divBdr>
            <w:top w:val="none" w:sz="0" w:space="0" w:color="auto"/>
            <w:left w:val="none" w:sz="0" w:space="0" w:color="auto"/>
            <w:bottom w:val="none" w:sz="0" w:space="0" w:color="auto"/>
            <w:right w:val="none" w:sz="0" w:space="0" w:color="auto"/>
          </w:divBdr>
          <w:divsChild>
            <w:div w:id="53358943">
              <w:marLeft w:val="0"/>
              <w:marRight w:val="0"/>
              <w:marTop w:val="0"/>
              <w:marBottom w:val="0"/>
              <w:divBdr>
                <w:top w:val="none" w:sz="0" w:space="0" w:color="auto"/>
                <w:left w:val="none" w:sz="0" w:space="0" w:color="auto"/>
                <w:bottom w:val="none" w:sz="0" w:space="0" w:color="auto"/>
                <w:right w:val="none" w:sz="0" w:space="0" w:color="auto"/>
              </w:divBdr>
              <w:divsChild>
                <w:div w:id="2090076140">
                  <w:marLeft w:val="0"/>
                  <w:marRight w:val="0"/>
                  <w:marTop w:val="90"/>
                  <w:marBottom w:val="0"/>
                  <w:divBdr>
                    <w:top w:val="none" w:sz="0" w:space="0" w:color="auto"/>
                    <w:left w:val="none" w:sz="0" w:space="0" w:color="auto"/>
                    <w:bottom w:val="none" w:sz="0" w:space="0" w:color="auto"/>
                    <w:right w:val="none" w:sz="0" w:space="0" w:color="auto"/>
                  </w:divBdr>
                  <w:divsChild>
                    <w:div w:id="1406952708">
                      <w:marLeft w:val="0"/>
                      <w:marRight w:val="0"/>
                      <w:marTop w:val="0"/>
                      <w:marBottom w:val="0"/>
                      <w:divBdr>
                        <w:top w:val="none" w:sz="0" w:space="0" w:color="auto"/>
                        <w:left w:val="none" w:sz="0" w:space="0" w:color="auto"/>
                        <w:bottom w:val="none" w:sz="0" w:space="0" w:color="auto"/>
                        <w:right w:val="none" w:sz="0" w:space="0" w:color="auto"/>
                      </w:divBdr>
                      <w:divsChild>
                        <w:div w:id="330261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3943284">
      <w:bodyDiv w:val="1"/>
      <w:marLeft w:val="0"/>
      <w:marRight w:val="0"/>
      <w:marTop w:val="0"/>
      <w:marBottom w:val="0"/>
      <w:divBdr>
        <w:top w:val="none" w:sz="0" w:space="0" w:color="auto"/>
        <w:left w:val="none" w:sz="0" w:space="0" w:color="auto"/>
        <w:bottom w:val="none" w:sz="0" w:space="0" w:color="auto"/>
        <w:right w:val="none" w:sz="0" w:space="0" w:color="auto"/>
      </w:divBdr>
    </w:div>
    <w:div w:id="1812867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hyperlink" Target="https://www.forbes.com/sites/joshuarhodes/2018/07/19/texas-electric-grid-sets-new-system-wide-all-time-peak-demand-record-twice/" TargetMode="External"/><Relationship Id="rId50" Type="http://schemas.openxmlformats.org/officeDocument/2006/relationships/image" Target="cid:image006.jpg@01D5CDEB.C69638C0" TargetMode="External"/><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6.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image" Target="media/image3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png"/><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8.jpe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jpg"/><Relationship Id="rId52" Type="http://schemas.openxmlformats.org/officeDocument/2006/relationships/hyperlink" Target="mailto:citizen.smitty@gmail.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3.jpg"/><Relationship Id="rId48" Type="http://schemas.openxmlformats.org/officeDocument/2006/relationships/image" Target="media/image37.png"/><Relationship Id="rId8" Type="http://schemas.openxmlformats.org/officeDocument/2006/relationships/webSettings" Target="webSettings.xml"/><Relationship Id="rId51" Type="http://schemas.openxmlformats.org/officeDocument/2006/relationships/image" Target="media/image39.jpg"/><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8" Type="http://schemas.openxmlformats.org/officeDocument/2006/relationships/hyperlink" Target="http://www.theconversation.com" TargetMode="External"/><Relationship Id="rId13" Type="http://schemas.openxmlformats.org/officeDocument/2006/relationships/hyperlink" Target="https://new.siemens.com/global/en/markets/transportation-logistics/electromobility/ebus-charging.html" TargetMode="External"/><Relationship Id="rId18" Type="http://schemas.openxmlformats.org/officeDocument/2006/relationships/hyperlink" Target="http://www.ercot.com/mktrules/issues/NPRR555" TargetMode="External"/><Relationship Id="rId3" Type="http://schemas.openxmlformats.org/officeDocument/2006/relationships/hyperlink" Target="https://mjbradley.com/sites/default/files/AZPEVCBAnalysisFINAL04dec18.pdf" TargetMode="External"/><Relationship Id="rId7" Type="http://schemas.openxmlformats.org/officeDocument/2006/relationships/hyperlink" Target="https://www.energy.gov/sites/prod/files/2014/02/f8/evs26_charging_demand_manuscript.pdf" TargetMode="External"/><Relationship Id="rId12" Type="http://schemas.openxmlformats.org/officeDocument/2006/relationships/hyperlink" Target="https://www.forbes.com/sites/peterdetwiler/2019/01/21/the-future-of-electric-vehicle-charging-executives-at-evgo-weigh-in/" TargetMode="External"/><Relationship Id="rId17" Type="http://schemas.openxmlformats.org/officeDocument/2006/relationships/hyperlink" Target="https://theconversation.com/switching-to-electric-vehicles-could-save-the-us-billions-but-timing-is-everything-106227" TargetMode="External"/><Relationship Id="rId2" Type="http://schemas.openxmlformats.org/officeDocument/2006/relationships/hyperlink" Target="https://theconversation.com/switching-to-electric-vehicles-could-save-the-us-billions-but-timing-is-everything-106227" TargetMode="External"/><Relationship Id="rId16" Type="http://schemas.openxmlformats.org/officeDocument/2006/relationships/hyperlink" Target="https://www.greenbiz.com/article/tale-two-grids-how-california-and-texas-are-preparing-ev-revolution" TargetMode="External"/><Relationship Id="rId1" Type="http://schemas.openxmlformats.org/officeDocument/2006/relationships/hyperlink" Target="http://www.theconversation.com" TargetMode="External"/><Relationship Id="rId6" Type="http://schemas.openxmlformats.org/officeDocument/2006/relationships/hyperlink" Target="https://www.mckinsey.com/industries/automotive-and-assembly/our-insights/the-potential-impact-of-electric-vehicles-on-global-energy-systems" TargetMode="External"/><Relationship Id="rId11" Type="http://schemas.openxmlformats.org/officeDocument/2006/relationships/hyperlink" Target="https://www.dailymail.co.uk/sciencetech/article-6892099/New-ultra-fast-pumps-charge-electric-car-minutes-theres-battery-handle-it.html" TargetMode="External"/><Relationship Id="rId5" Type="http://schemas.openxmlformats.org/officeDocument/2006/relationships/hyperlink" Target="http://www.ercot.com/content/wcm/lists/144927/2018_LTSA_Report.pdf" TargetMode="External"/><Relationship Id="rId15" Type="http://schemas.openxmlformats.org/officeDocument/2006/relationships/hyperlink" Target="https://theconversation.com/switching-to-electric-vehicles-could-save-the-us-billions-but-timing-is-everything-106227" TargetMode="External"/><Relationship Id="rId10" Type="http://schemas.openxmlformats.org/officeDocument/2006/relationships/hyperlink" Target="https://doi.org/10.3390/en12101839" TargetMode="External"/><Relationship Id="rId4" Type="http://schemas.openxmlformats.org/officeDocument/2006/relationships/hyperlink" Target="https://www.synapse-energy.com/sites/default/files/EVs-Driving-Rates-Down-8-122.pdf" TargetMode="External"/><Relationship Id="rId9" Type="http://schemas.openxmlformats.org/officeDocument/2006/relationships/hyperlink" Target="https://theconversation.com/switching-to-electric-vehicles-could-save-the-us-billions-but-timing-is-everything-106227" TargetMode="External"/><Relationship Id="rId14" Type="http://schemas.openxmlformats.org/officeDocument/2006/relationships/hyperlink" Target="https://pubs.rsc.org/en/Content/ArticleLanding/2017/EE/C6EE02888H"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07D3C56A54BF84AAD40B38D1F9BDED5" ma:contentTypeVersion="12" ma:contentTypeDescription="Create a new document." ma:contentTypeScope="" ma:versionID="cdad39bd780c40fd4b28fd45e9a25eac">
  <xsd:schema xmlns:xsd="http://www.w3.org/2001/XMLSchema" xmlns:xs="http://www.w3.org/2001/XMLSchema" xmlns:p="http://schemas.microsoft.com/office/2006/metadata/properties" xmlns:ns2="522f5ca0-1bf8-4b28-b3ed-82f6ebb900e7" xmlns:ns3="b7bcdb2b-4aca-415d-a1ef-4690bb525554" targetNamespace="http://schemas.microsoft.com/office/2006/metadata/properties" ma:root="true" ma:fieldsID="dc64e5d9f6ca6afefd734e75a8c823e2" ns2:_="" ns3:_="">
    <xsd:import namespace="522f5ca0-1bf8-4b28-b3ed-82f6ebb900e7"/>
    <xsd:import namespace="b7bcdb2b-4aca-415d-a1ef-4690bb52555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2f5ca0-1bf8-4b28-b3ed-82f6ebb900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7bcdb2b-4aca-415d-a1ef-4690bb525554"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9160A704-3141-4448-9CFC-BAC29CBCF7BB}">
  <ds:schemaRefs>
    <ds:schemaRef ds:uri="http://schemas.microsoft.com/sharepoint/v3/contenttype/forms"/>
  </ds:schemaRefs>
</ds:datastoreItem>
</file>

<file path=customXml/itemProps2.xml><?xml version="1.0" encoding="utf-8"?>
<ds:datastoreItem xmlns:ds="http://schemas.openxmlformats.org/officeDocument/2006/customXml" ds:itemID="{1F258014-C606-4898-A432-A695BFFAC0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2f5ca0-1bf8-4b28-b3ed-82f6ebb900e7"/>
    <ds:schemaRef ds:uri="b7bcdb2b-4aca-415d-a1ef-4690bb5255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665025C-2608-4999-855C-B7B0593CAC9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8DCAE8F-BD3C-46C8-9D87-AFBEE4AE04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46</Pages>
  <Words>9048</Words>
  <Characters>51576</Characters>
  <Application>Microsoft Office Word</Application>
  <DocSecurity>0</DocSecurity>
  <Lines>429</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Conklin</dc:creator>
  <cp:keywords/>
  <dc:description/>
  <cp:lastModifiedBy>Laura Morrison</cp:lastModifiedBy>
  <cp:revision>19</cp:revision>
  <cp:lastPrinted>2020-02-03T17:52:00Z</cp:lastPrinted>
  <dcterms:created xsi:type="dcterms:W3CDTF">2020-02-03T15:33:00Z</dcterms:created>
  <dcterms:modified xsi:type="dcterms:W3CDTF">2020-02-03T18:01:00Z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0x010100D07D3C56A54BF84AAD40B38D1F9BDED5</vt:lpwstr>
  </property>
</Properties>
</file>